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EFD" w:rsidRPr="00217289" w:rsidRDefault="00AA2127" w:rsidP="00BA5E9E">
      <w:pPr>
        <w:spacing w:after="0"/>
        <w:jc w:val="center"/>
        <w:rPr>
          <w:rFonts w:asciiTheme="majorHAnsi" w:hAnsiTheme="majorHAnsi"/>
          <w:sz w:val="36"/>
          <w:szCs w:val="36"/>
          <w:lang w:val="fr-FR"/>
        </w:rPr>
      </w:pPr>
      <w:r w:rsidRPr="00217289">
        <w:rPr>
          <w:rFonts w:asciiTheme="majorHAnsi" w:eastAsiaTheme="majorEastAsia" w:hAnsiTheme="majorHAnsi" w:cstheme="majorBidi"/>
          <w:b/>
          <w:bCs/>
          <w:color w:val="365F91" w:themeColor="accent1" w:themeShade="BF"/>
          <w:sz w:val="36"/>
          <w:szCs w:val="36"/>
          <w:lang w:val="fr-FR"/>
        </w:rPr>
        <w:t xml:space="preserve">Participation et intéressement </w:t>
      </w:r>
      <w:r w:rsidR="00BA5E9E">
        <w:rPr>
          <w:rFonts w:asciiTheme="majorHAnsi" w:eastAsiaTheme="majorEastAsia" w:hAnsiTheme="majorHAnsi" w:cstheme="majorBidi"/>
          <w:b/>
          <w:bCs/>
          <w:color w:val="365F91" w:themeColor="accent1" w:themeShade="BF"/>
          <w:sz w:val="36"/>
          <w:szCs w:val="36"/>
          <w:lang w:val="fr-FR"/>
        </w:rPr>
        <w:t>Entreprise X</w:t>
      </w:r>
    </w:p>
    <w:p w:rsidR="00D04B50" w:rsidRPr="00AC3F97" w:rsidRDefault="00D04B50" w:rsidP="00374A5B">
      <w:pPr>
        <w:spacing w:after="0"/>
        <w:jc w:val="both"/>
        <w:rPr>
          <w:rFonts w:asciiTheme="majorHAnsi" w:hAnsiTheme="majorHAnsi"/>
          <w:lang w:val="fr-FR"/>
        </w:rPr>
      </w:pPr>
    </w:p>
    <w:p w:rsidR="00D04B50" w:rsidRDefault="00F20EF7" w:rsidP="00374A5B">
      <w:pPr>
        <w:pStyle w:val="Titre1"/>
        <w:spacing w:before="0"/>
        <w:rPr>
          <w:lang w:val="fr-FR"/>
        </w:rPr>
      </w:pPr>
      <w:r>
        <w:rPr>
          <w:lang w:val="fr-FR"/>
        </w:rPr>
        <w:t>Contexte</w:t>
      </w:r>
      <w:r w:rsidR="00D04B50" w:rsidRPr="00AC3F97">
        <w:rPr>
          <w:lang w:val="fr-FR"/>
        </w:rPr>
        <w:t xml:space="preserve"> économique du groupe</w:t>
      </w:r>
    </w:p>
    <w:p w:rsidR="00AC3F97" w:rsidRPr="00AC3F97" w:rsidRDefault="00AC3F97" w:rsidP="00374A5B">
      <w:pPr>
        <w:spacing w:after="0"/>
        <w:jc w:val="both"/>
        <w:rPr>
          <w:rFonts w:asciiTheme="majorHAnsi" w:hAnsiTheme="majorHAnsi"/>
          <w:lang w:val="fr-FR"/>
        </w:rPr>
      </w:pPr>
    </w:p>
    <w:p w:rsidR="00D04B50" w:rsidRPr="00AC3F97" w:rsidRDefault="00D04B50"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Les origines du groupe </w:t>
      </w:r>
      <w:r w:rsidR="00BA5E9E">
        <w:rPr>
          <w:rFonts w:asciiTheme="majorHAnsi" w:hAnsiTheme="majorHAnsi" w:cs="Times New Roman"/>
          <w:lang w:val="fr-FR"/>
        </w:rPr>
        <w:t>X</w:t>
      </w:r>
      <w:r w:rsidRPr="00AC3F97">
        <w:rPr>
          <w:rFonts w:asciiTheme="majorHAnsi" w:hAnsiTheme="majorHAnsi" w:cs="Times New Roman"/>
          <w:lang w:val="fr-FR"/>
        </w:rPr>
        <w:t xml:space="preserve"> l’ont amené aujourd’hui à une taille conséquente.</w:t>
      </w:r>
    </w:p>
    <w:p w:rsidR="00D04B50" w:rsidRPr="00AC3F97" w:rsidRDefault="00D04B50" w:rsidP="00374A5B">
      <w:pPr>
        <w:spacing w:after="0"/>
        <w:jc w:val="both"/>
        <w:rPr>
          <w:rFonts w:asciiTheme="majorHAnsi" w:hAnsiTheme="majorHAnsi" w:cs="Times New Roman"/>
          <w:lang w:val="fr-FR"/>
        </w:rPr>
      </w:pPr>
      <w:r w:rsidRPr="00AC3F97">
        <w:rPr>
          <w:rFonts w:asciiTheme="majorHAnsi" w:hAnsiTheme="majorHAnsi" w:cs="Times New Roman"/>
          <w:lang w:val="fr-FR"/>
        </w:rPr>
        <w:t>Présent dans 56 pays</w:t>
      </w:r>
      <w:r w:rsidR="00AC3F97">
        <w:rPr>
          <w:rFonts w:asciiTheme="majorHAnsi" w:hAnsiTheme="majorHAnsi" w:cs="Times New Roman"/>
          <w:lang w:val="fr-FR"/>
        </w:rPr>
        <w:t xml:space="preserve"> </w:t>
      </w:r>
      <w:r w:rsidRPr="00AC3F97">
        <w:rPr>
          <w:rFonts w:asciiTheme="majorHAnsi" w:hAnsiTheme="majorHAnsi" w:cs="Times New Roman"/>
          <w:lang w:val="fr-FR"/>
        </w:rPr>
        <w:t>et employant 6</w:t>
      </w:r>
      <w:r w:rsidR="00381CE2" w:rsidRPr="00AC3F97">
        <w:rPr>
          <w:rFonts w:asciiTheme="majorHAnsi" w:hAnsiTheme="majorHAnsi" w:cs="Times New Roman"/>
          <w:lang w:val="fr-FR"/>
        </w:rPr>
        <w:t>3</w:t>
      </w:r>
      <w:r w:rsidRPr="00AC3F97">
        <w:rPr>
          <w:rFonts w:asciiTheme="majorHAnsi" w:hAnsiTheme="majorHAnsi" w:cs="Times New Roman"/>
          <w:lang w:val="fr-FR"/>
        </w:rPr>
        <w:t xml:space="preserve"> 000 collaborateurs, </w:t>
      </w:r>
      <w:r w:rsidR="00BA5E9E">
        <w:rPr>
          <w:rFonts w:asciiTheme="majorHAnsi" w:hAnsiTheme="majorHAnsi" w:cs="Times New Roman"/>
          <w:lang w:val="fr-FR"/>
        </w:rPr>
        <w:t>X</w:t>
      </w:r>
      <w:r w:rsidRPr="00AC3F97">
        <w:rPr>
          <w:rFonts w:asciiTheme="majorHAnsi" w:hAnsiTheme="majorHAnsi" w:cs="Times New Roman"/>
          <w:lang w:val="fr-FR"/>
        </w:rPr>
        <w:t xml:space="preserve"> est un des leaders mondiaux dans le domaine des équipements à destination des industries de l’aéronautique, de l’espace, de la défense, de la sécurité et des modes de transport.</w:t>
      </w:r>
    </w:p>
    <w:p w:rsidR="00D04B50" w:rsidRPr="00AC3F97" w:rsidRDefault="00D04B50"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Après plusieurs années à stagner, le groupe </w:t>
      </w:r>
      <w:r w:rsidR="00BA5E9E">
        <w:rPr>
          <w:rFonts w:asciiTheme="majorHAnsi" w:hAnsiTheme="majorHAnsi" w:cs="Times New Roman"/>
          <w:lang w:val="fr-FR"/>
        </w:rPr>
        <w:t>X</w:t>
      </w:r>
      <w:r w:rsidRPr="00AC3F97">
        <w:rPr>
          <w:rFonts w:asciiTheme="majorHAnsi" w:hAnsiTheme="majorHAnsi" w:cs="Times New Roman"/>
          <w:lang w:val="fr-FR"/>
        </w:rPr>
        <w:t xml:space="preserve"> renoue avec la croissance en 2015 grâce à des contrats de plus en plus nombreux et importants. L’entreprise a d’ailleurs été citée plusieurs fois aux actualités en ce début d’année 2016 en raison de ses excellents résultats annuels.</w:t>
      </w:r>
    </w:p>
    <w:p w:rsidR="007C6A5D" w:rsidRPr="00AC3F97" w:rsidRDefault="007C6A5D" w:rsidP="00374A5B">
      <w:pPr>
        <w:spacing w:after="0"/>
        <w:jc w:val="both"/>
        <w:rPr>
          <w:rFonts w:asciiTheme="majorHAnsi" w:hAnsiTheme="majorHAnsi" w:cs="Times New Roman"/>
          <w:lang w:val="fr-FR"/>
        </w:rPr>
      </w:pPr>
      <w:r w:rsidRPr="00AC3F97">
        <w:rPr>
          <w:rFonts w:asciiTheme="majorHAnsi" w:hAnsiTheme="majorHAnsi" w:cs="Times New Roman"/>
          <w:lang w:val="fr-FR"/>
        </w:rPr>
        <w:t>Le chiffre d’affaires du groupe pour l’année 2015 s’élève à 14 milliards d’euros.</w:t>
      </w:r>
    </w:p>
    <w:p w:rsidR="00005A85" w:rsidRPr="00AC3F97" w:rsidRDefault="00005A85" w:rsidP="00BA5E9E">
      <w:pPr>
        <w:spacing w:after="0"/>
        <w:jc w:val="both"/>
        <w:rPr>
          <w:rFonts w:asciiTheme="majorHAnsi" w:hAnsiTheme="majorHAnsi" w:cs="Times New Roman"/>
          <w:lang w:val="fr-FR"/>
        </w:rPr>
      </w:pPr>
      <w:r w:rsidRPr="00AC3F97">
        <w:rPr>
          <w:rFonts w:asciiTheme="majorHAnsi" w:hAnsiTheme="majorHAnsi" w:cs="Times New Roman"/>
          <w:lang w:val="fr-FR"/>
        </w:rPr>
        <w:t xml:space="preserve">De son côté, la filiale </w:t>
      </w:r>
      <w:r w:rsidR="00BA5E9E">
        <w:rPr>
          <w:rFonts w:asciiTheme="majorHAnsi" w:hAnsiTheme="majorHAnsi" w:cs="Times New Roman"/>
          <w:lang w:val="fr-FR"/>
        </w:rPr>
        <w:t xml:space="preserve">XYZ </w:t>
      </w:r>
      <w:r w:rsidRPr="00AC3F97">
        <w:rPr>
          <w:rFonts w:asciiTheme="majorHAnsi" w:hAnsiTheme="majorHAnsi" w:cs="Times New Roman"/>
          <w:lang w:val="fr-FR"/>
        </w:rPr>
        <w:t>emploie 7000 employés et réalise un chiffre d’affaires d’environ 1,8 milliard d’euros pour l’année 2015.</w:t>
      </w:r>
    </w:p>
    <w:p w:rsidR="00381CE2" w:rsidRPr="00AC3F97" w:rsidRDefault="00381CE2" w:rsidP="00374A5B">
      <w:pPr>
        <w:spacing w:after="0"/>
        <w:jc w:val="both"/>
        <w:rPr>
          <w:rFonts w:asciiTheme="majorHAnsi" w:hAnsiTheme="majorHAnsi" w:cs="Times New Roman"/>
          <w:lang w:val="fr-FR"/>
        </w:rPr>
      </w:pPr>
    </w:p>
    <w:p w:rsidR="00381CE2" w:rsidRPr="00AC3F97" w:rsidRDefault="00381CE2" w:rsidP="00374A5B">
      <w:pPr>
        <w:spacing w:after="0"/>
        <w:jc w:val="both"/>
        <w:rPr>
          <w:rFonts w:asciiTheme="majorHAnsi" w:hAnsiTheme="majorHAnsi" w:cs="Times New Roman"/>
          <w:lang w:val="fr-FR"/>
        </w:rPr>
      </w:pPr>
    </w:p>
    <w:p w:rsidR="00B1272E" w:rsidRPr="00AC3F97" w:rsidRDefault="009E3CE2" w:rsidP="00374A5B">
      <w:pPr>
        <w:pStyle w:val="Titre1"/>
        <w:spacing w:before="0"/>
        <w:rPr>
          <w:lang w:val="fr-FR"/>
        </w:rPr>
      </w:pPr>
      <w:r w:rsidRPr="00AC3F97">
        <w:rPr>
          <w:lang w:val="fr-FR"/>
        </w:rPr>
        <w:t>Intéressement et participation</w:t>
      </w:r>
    </w:p>
    <w:p w:rsidR="008F03E5" w:rsidRPr="00AC3F97" w:rsidRDefault="008F03E5" w:rsidP="00374A5B">
      <w:pPr>
        <w:spacing w:after="0"/>
        <w:jc w:val="both"/>
        <w:rPr>
          <w:rFonts w:asciiTheme="majorHAnsi" w:hAnsiTheme="majorHAnsi" w:cs="Times New Roman"/>
          <w:lang w:val="fr-FR"/>
        </w:rPr>
      </w:pPr>
    </w:p>
    <w:p w:rsidR="009E3CE2" w:rsidRPr="00AC3F97" w:rsidRDefault="003F41B6"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Au sein du groupe </w:t>
      </w:r>
      <w:r w:rsidR="00BA5E9E">
        <w:rPr>
          <w:rFonts w:asciiTheme="majorHAnsi" w:hAnsiTheme="majorHAnsi" w:cs="Times New Roman"/>
          <w:lang w:val="fr-FR"/>
        </w:rPr>
        <w:t>X</w:t>
      </w:r>
      <w:r w:rsidRPr="00AC3F97">
        <w:rPr>
          <w:rFonts w:asciiTheme="majorHAnsi" w:hAnsiTheme="majorHAnsi" w:cs="Times New Roman"/>
          <w:lang w:val="fr-FR"/>
        </w:rPr>
        <w:t xml:space="preserve"> nous percevons deux primes, l’intéressement et la participation.</w:t>
      </w:r>
    </w:p>
    <w:p w:rsidR="003F41B6" w:rsidRPr="00AC3F97" w:rsidRDefault="003F41B6" w:rsidP="00374A5B">
      <w:pPr>
        <w:spacing w:after="0"/>
        <w:jc w:val="both"/>
        <w:rPr>
          <w:rFonts w:asciiTheme="majorHAnsi" w:hAnsiTheme="majorHAnsi" w:cs="Times New Roman"/>
          <w:lang w:val="fr-FR"/>
        </w:rPr>
      </w:pPr>
      <w:r w:rsidRPr="00AC3F97">
        <w:rPr>
          <w:rFonts w:asciiTheme="majorHAnsi" w:hAnsiTheme="majorHAnsi" w:cs="Times New Roman"/>
          <w:lang w:val="fr-FR"/>
        </w:rPr>
        <w:t>Il convient tout d’abord de rappeler ces termes.</w:t>
      </w:r>
    </w:p>
    <w:p w:rsidR="00DD159E" w:rsidRPr="00AC3F97" w:rsidRDefault="00DD159E" w:rsidP="00374A5B">
      <w:pPr>
        <w:spacing w:after="0"/>
        <w:jc w:val="both"/>
        <w:rPr>
          <w:rFonts w:asciiTheme="majorHAnsi" w:hAnsiTheme="majorHAnsi" w:cs="Times New Roman"/>
          <w:lang w:val="fr-FR"/>
        </w:rPr>
      </w:pPr>
      <w:r w:rsidRPr="00AC3F97">
        <w:rPr>
          <w:rFonts w:asciiTheme="majorHAnsi" w:hAnsiTheme="majorHAnsi" w:cs="Times New Roman"/>
          <w:lang w:val="fr-FR"/>
        </w:rPr>
        <w:t>La participation est une redistribution d’une partie des bénéfices nets réalisés.</w:t>
      </w:r>
      <w:r w:rsidR="00597184" w:rsidRPr="00AC3F97">
        <w:rPr>
          <w:rFonts w:asciiTheme="majorHAnsi" w:hAnsiTheme="majorHAnsi" w:cs="Times New Roman"/>
          <w:lang w:val="fr-FR"/>
        </w:rPr>
        <w:t xml:space="preserve"> La réglementation du code du travail impose aux entreprise</w:t>
      </w:r>
      <w:r w:rsidR="00F91061" w:rsidRPr="00AC3F97">
        <w:rPr>
          <w:rFonts w:asciiTheme="majorHAnsi" w:hAnsiTheme="majorHAnsi" w:cs="Times New Roman"/>
          <w:lang w:val="fr-FR"/>
        </w:rPr>
        <w:t xml:space="preserve">s de constituer une cagnotte qui sera partagée entre les employés. </w:t>
      </w:r>
      <w:r w:rsidRPr="00AC3F97">
        <w:rPr>
          <w:rFonts w:asciiTheme="majorHAnsi" w:hAnsiTheme="majorHAnsi" w:cs="Times New Roman"/>
          <w:lang w:val="fr-FR"/>
        </w:rPr>
        <w:t xml:space="preserve">Dans mon cas, c’est le groupe </w:t>
      </w:r>
      <w:r w:rsidR="00BA5E9E">
        <w:rPr>
          <w:rFonts w:asciiTheme="majorHAnsi" w:hAnsiTheme="majorHAnsi" w:cs="Times New Roman"/>
          <w:lang w:val="fr-FR"/>
        </w:rPr>
        <w:t>X</w:t>
      </w:r>
      <w:r w:rsidRPr="00AC3F97">
        <w:rPr>
          <w:rFonts w:asciiTheme="majorHAnsi" w:hAnsiTheme="majorHAnsi" w:cs="Times New Roman"/>
          <w:lang w:val="fr-FR"/>
        </w:rPr>
        <w:t xml:space="preserve"> qui distribue cette prime.</w:t>
      </w:r>
    </w:p>
    <w:p w:rsidR="00DD159E" w:rsidRPr="00AC3F97" w:rsidRDefault="00DD159E" w:rsidP="00374A5B">
      <w:pPr>
        <w:spacing w:after="0"/>
        <w:jc w:val="both"/>
        <w:rPr>
          <w:rFonts w:asciiTheme="majorHAnsi" w:hAnsiTheme="majorHAnsi" w:cs="Times New Roman"/>
          <w:lang w:val="fr-FR"/>
        </w:rPr>
      </w:pPr>
      <w:r w:rsidRPr="00AC3F97">
        <w:rPr>
          <w:rFonts w:asciiTheme="majorHAnsi" w:hAnsiTheme="majorHAnsi" w:cs="Times New Roman"/>
          <w:lang w:val="fr-FR"/>
        </w:rPr>
        <w:t>L’intéressement a pour but de récompenser et encourager des performances dans l’optique de gagner plus.</w:t>
      </w:r>
      <w:r w:rsidR="00A344E0" w:rsidRPr="00AC3F97">
        <w:rPr>
          <w:rFonts w:asciiTheme="majorHAnsi" w:hAnsiTheme="majorHAnsi" w:cs="Times New Roman"/>
          <w:lang w:val="fr-FR"/>
        </w:rPr>
        <w:t xml:space="preserve"> Il s’agit d’un dispositif facultatif.</w:t>
      </w:r>
      <w:r w:rsidRPr="00AC3F97">
        <w:rPr>
          <w:rFonts w:asciiTheme="majorHAnsi" w:hAnsiTheme="majorHAnsi" w:cs="Times New Roman"/>
          <w:lang w:val="fr-FR"/>
        </w:rPr>
        <w:t xml:space="preserve"> Il est distribué à l’échelle de </w:t>
      </w:r>
      <w:r w:rsidR="00BA5E9E">
        <w:rPr>
          <w:rFonts w:asciiTheme="majorHAnsi" w:hAnsiTheme="majorHAnsi" w:cs="Times New Roman"/>
          <w:lang w:val="fr-FR"/>
        </w:rPr>
        <w:t>XYZ</w:t>
      </w:r>
      <w:r w:rsidRPr="00AC3F97">
        <w:rPr>
          <w:rFonts w:asciiTheme="majorHAnsi" w:hAnsiTheme="majorHAnsi" w:cs="Times New Roman"/>
          <w:lang w:val="fr-FR"/>
        </w:rPr>
        <w:t xml:space="preserve"> pour mon cas.</w:t>
      </w:r>
    </w:p>
    <w:p w:rsidR="008F03E5" w:rsidRPr="00AC3F97" w:rsidRDefault="008F03E5" w:rsidP="00374A5B">
      <w:pPr>
        <w:spacing w:after="0"/>
        <w:jc w:val="both"/>
        <w:rPr>
          <w:rFonts w:asciiTheme="majorHAnsi" w:hAnsiTheme="majorHAnsi" w:cs="Times New Roman"/>
          <w:lang w:val="fr-FR"/>
        </w:rPr>
      </w:pPr>
    </w:p>
    <w:p w:rsidR="00B561B4" w:rsidRPr="00AC3F97" w:rsidRDefault="00B561B4"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La suite de cette note de synthèse sera consacrée à l’intéressement. En effet, celui-ci étant distribué à l’échelle de la filiale </w:t>
      </w:r>
      <w:r w:rsidR="00BA5E9E">
        <w:rPr>
          <w:rFonts w:asciiTheme="majorHAnsi" w:hAnsiTheme="majorHAnsi" w:cs="Times New Roman"/>
          <w:lang w:val="fr-FR"/>
        </w:rPr>
        <w:t>XYZ</w:t>
      </w:r>
      <w:r w:rsidRPr="00AC3F97">
        <w:rPr>
          <w:rFonts w:asciiTheme="majorHAnsi" w:hAnsiTheme="majorHAnsi" w:cs="Times New Roman"/>
          <w:lang w:val="fr-FR"/>
        </w:rPr>
        <w:t>, les calculs et les informations le concernant présentent moins de difficultés à être trouvés.</w:t>
      </w:r>
    </w:p>
    <w:p w:rsidR="008F03E5" w:rsidRPr="00AC3F97" w:rsidRDefault="008F03E5" w:rsidP="00374A5B">
      <w:pPr>
        <w:spacing w:after="0"/>
        <w:jc w:val="both"/>
        <w:rPr>
          <w:rFonts w:asciiTheme="majorHAnsi" w:hAnsiTheme="majorHAnsi" w:cs="Times New Roman"/>
          <w:lang w:val="fr-FR"/>
        </w:rPr>
      </w:pPr>
    </w:p>
    <w:p w:rsidR="008F03E5" w:rsidRPr="00AC3F97" w:rsidRDefault="008F03E5" w:rsidP="00BA5E9E">
      <w:pPr>
        <w:pStyle w:val="Titre2"/>
        <w:spacing w:before="0"/>
        <w:rPr>
          <w:lang w:val="fr-FR"/>
        </w:rPr>
      </w:pPr>
      <w:r w:rsidRPr="00AC3F97">
        <w:rPr>
          <w:lang w:val="fr-FR"/>
        </w:rPr>
        <w:t xml:space="preserve">L’intéressement à </w:t>
      </w:r>
      <w:r w:rsidR="00BA5E9E">
        <w:rPr>
          <w:lang w:val="fr-FR"/>
        </w:rPr>
        <w:t>XYZ</w:t>
      </w:r>
    </w:p>
    <w:p w:rsidR="008F03E5" w:rsidRPr="00AC3F97" w:rsidRDefault="008F03E5" w:rsidP="00374A5B">
      <w:pPr>
        <w:spacing w:after="0"/>
        <w:jc w:val="both"/>
        <w:rPr>
          <w:rFonts w:asciiTheme="majorHAnsi" w:hAnsiTheme="majorHAnsi" w:cs="Times New Roman"/>
          <w:lang w:val="fr-FR"/>
        </w:rPr>
      </w:pPr>
    </w:p>
    <w:p w:rsidR="008F03E5" w:rsidRPr="00AC3F97" w:rsidRDefault="008F03E5" w:rsidP="00374A5B">
      <w:pPr>
        <w:pStyle w:val="Titre3"/>
        <w:spacing w:before="0"/>
        <w:rPr>
          <w:lang w:val="fr-FR"/>
        </w:rPr>
      </w:pPr>
      <w:r w:rsidRPr="00AC3F97">
        <w:rPr>
          <w:lang w:val="fr-FR"/>
        </w:rPr>
        <w:tab/>
        <w:t>Bénéficiaires</w:t>
      </w:r>
    </w:p>
    <w:p w:rsidR="008F03E5" w:rsidRPr="00AC3F97" w:rsidRDefault="008F03E5" w:rsidP="00374A5B">
      <w:pPr>
        <w:spacing w:after="0"/>
        <w:jc w:val="both"/>
        <w:rPr>
          <w:rFonts w:asciiTheme="majorHAnsi" w:hAnsiTheme="majorHAnsi" w:cs="Times New Roman"/>
          <w:lang w:val="fr-FR"/>
        </w:rPr>
      </w:pPr>
    </w:p>
    <w:p w:rsidR="008F03E5" w:rsidRPr="00AC3F97" w:rsidRDefault="008F03E5"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Les salariés liés par un contrat de travail à </w:t>
      </w:r>
      <w:r w:rsidR="00BA5E9E">
        <w:rPr>
          <w:rFonts w:asciiTheme="majorHAnsi" w:hAnsiTheme="majorHAnsi" w:cs="Times New Roman"/>
          <w:lang w:val="fr-FR"/>
        </w:rPr>
        <w:t>X</w:t>
      </w:r>
      <w:r w:rsidRPr="00AC3F97">
        <w:rPr>
          <w:rFonts w:asciiTheme="majorHAnsi" w:hAnsiTheme="majorHAnsi" w:cs="Times New Roman"/>
          <w:lang w:val="fr-FR"/>
        </w:rPr>
        <w:t xml:space="preserve"> </w:t>
      </w:r>
      <w:r w:rsidR="00BA5E9E">
        <w:rPr>
          <w:rFonts w:asciiTheme="majorHAnsi" w:hAnsiTheme="majorHAnsi" w:cs="Times New Roman"/>
          <w:lang w:val="fr-FR"/>
        </w:rPr>
        <w:t>XYZ</w:t>
      </w:r>
      <w:r w:rsidRPr="00AC3F97">
        <w:rPr>
          <w:rFonts w:asciiTheme="majorHAnsi" w:hAnsiTheme="majorHAnsi" w:cs="Times New Roman"/>
          <w:lang w:val="fr-FR"/>
        </w:rPr>
        <w:t xml:space="preserve"> et dont l’ancienneté totale au sein du groupe </w:t>
      </w:r>
      <w:r w:rsidR="00BA5E9E">
        <w:rPr>
          <w:rFonts w:asciiTheme="majorHAnsi" w:hAnsiTheme="majorHAnsi" w:cs="Times New Roman"/>
          <w:lang w:val="fr-FR"/>
        </w:rPr>
        <w:t>X</w:t>
      </w:r>
      <w:r w:rsidRPr="00AC3F97">
        <w:rPr>
          <w:rFonts w:asciiTheme="majorHAnsi" w:hAnsiTheme="majorHAnsi" w:cs="Times New Roman"/>
          <w:lang w:val="fr-FR"/>
        </w:rPr>
        <w:t xml:space="preserve"> est d’au moins trois mois sont tous bénéficiaires de l’accord d’intéressement de la société. </w:t>
      </w:r>
    </w:p>
    <w:p w:rsidR="00A177E6" w:rsidRPr="00AC3F97" w:rsidRDefault="00A177E6" w:rsidP="00374A5B">
      <w:pPr>
        <w:spacing w:after="0"/>
        <w:jc w:val="both"/>
        <w:rPr>
          <w:rFonts w:asciiTheme="majorHAnsi" w:hAnsiTheme="majorHAnsi" w:cs="Times New Roman"/>
          <w:lang w:val="fr-FR"/>
        </w:rPr>
      </w:pPr>
      <w:r w:rsidRPr="00AC3F97">
        <w:rPr>
          <w:rFonts w:asciiTheme="majorHAnsi" w:hAnsiTheme="majorHAnsi" w:cs="Times New Roman"/>
          <w:lang w:val="fr-FR"/>
        </w:rPr>
        <w:t>Les apprentis sont donc également bénéficiaires de cette prime.</w:t>
      </w:r>
    </w:p>
    <w:p w:rsidR="00142265" w:rsidRDefault="00DE1BB3" w:rsidP="00374A5B">
      <w:pPr>
        <w:pStyle w:val="Titre3"/>
        <w:spacing w:before="0"/>
        <w:rPr>
          <w:lang w:val="fr-FR"/>
        </w:rPr>
      </w:pPr>
      <w:r w:rsidRPr="00AC3F97">
        <w:rPr>
          <w:lang w:val="fr-FR"/>
        </w:rPr>
        <w:tab/>
      </w:r>
    </w:p>
    <w:p w:rsidR="00DE1BB3" w:rsidRPr="00AC3F97" w:rsidRDefault="00DE1BB3" w:rsidP="00142265">
      <w:pPr>
        <w:pStyle w:val="Titre3"/>
        <w:spacing w:before="0"/>
        <w:ind w:firstLine="720"/>
        <w:rPr>
          <w:lang w:val="fr-FR"/>
        </w:rPr>
      </w:pPr>
      <w:r w:rsidRPr="00AC3F97">
        <w:rPr>
          <w:lang w:val="fr-FR"/>
        </w:rPr>
        <w:t>Base de calcul</w:t>
      </w:r>
    </w:p>
    <w:p w:rsidR="00DE1BB3" w:rsidRPr="00AC3F97" w:rsidRDefault="00DE1BB3" w:rsidP="00374A5B">
      <w:pPr>
        <w:spacing w:after="0"/>
        <w:jc w:val="both"/>
        <w:rPr>
          <w:rFonts w:asciiTheme="majorHAnsi" w:hAnsiTheme="majorHAnsi" w:cs="Times New Roman"/>
          <w:lang w:val="fr-FR"/>
        </w:rPr>
      </w:pPr>
    </w:p>
    <w:p w:rsidR="00914A96" w:rsidRPr="00AC3F97" w:rsidRDefault="00914A96" w:rsidP="00374A5B">
      <w:pPr>
        <w:spacing w:after="0"/>
        <w:jc w:val="both"/>
        <w:rPr>
          <w:rFonts w:asciiTheme="majorHAnsi" w:hAnsiTheme="majorHAnsi" w:cs="Times New Roman"/>
          <w:lang w:val="fr-FR"/>
        </w:rPr>
      </w:pPr>
      <w:r w:rsidRPr="00AC3F97">
        <w:rPr>
          <w:rFonts w:asciiTheme="majorHAnsi" w:hAnsiTheme="majorHAnsi" w:cs="Times New Roman"/>
          <w:lang w:val="fr-FR"/>
        </w:rPr>
        <w:t>Avant d’entamer cette partie il convient d’expliquer deux termes essentiels à sa compréhension.</w:t>
      </w:r>
    </w:p>
    <w:p w:rsidR="00914A96" w:rsidRPr="00AC3F97" w:rsidRDefault="00914A96" w:rsidP="00374A5B">
      <w:pPr>
        <w:spacing w:after="0"/>
        <w:jc w:val="both"/>
        <w:rPr>
          <w:rFonts w:asciiTheme="majorHAnsi" w:hAnsiTheme="majorHAnsi" w:cs="Times New Roman"/>
          <w:lang w:val="fr-FR"/>
        </w:rPr>
      </w:pPr>
      <w:r w:rsidRPr="00AC3F97">
        <w:rPr>
          <w:rFonts w:asciiTheme="majorHAnsi" w:hAnsiTheme="majorHAnsi" w:cs="Times New Roman"/>
          <w:lang w:val="fr-FR"/>
        </w:rPr>
        <w:t>L’avenant est un acte juridique qui se traduit par la rédaction d’une clause additionnelle permettant d’apporter une modification à un contrat toujours en cours.</w:t>
      </w:r>
    </w:p>
    <w:p w:rsidR="00914A96" w:rsidRPr="00AC3F97" w:rsidRDefault="00914A96" w:rsidP="00374A5B">
      <w:pPr>
        <w:spacing w:after="0"/>
        <w:jc w:val="both"/>
        <w:rPr>
          <w:rFonts w:asciiTheme="majorHAnsi" w:hAnsiTheme="majorHAnsi" w:cs="Times New Roman"/>
          <w:lang w:val="fr-FR"/>
        </w:rPr>
      </w:pPr>
      <w:r w:rsidRPr="00AC3F97">
        <w:rPr>
          <w:rFonts w:asciiTheme="majorHAnsi" w:hAnsiTheme="majorHAnsi" w:cs="Times New Roman"/>
          <w:lang w:val="fr-FR"/>
        </w:rPr>
        <w:t>Le résultat opérationnel désigne la différence entre les produits et les charges d’exploitation d’une entreprise. Il fait partie du compte de résu</w:t>
      </w:r>
      <w:bookmarkStart w:id="0" w:name="_GoBack"/>
      <w:bookmarkEnd w:id="0"/>
      <w:r w:rsidRPr="00AC3F97">
        <w:rPr>
          <w:rFonts w:asciiTheme="majorHAnsi" w:hAnsiTheme="majorHAnsi" w:cs="Times New Roman"/>
          <w:lang w:val="fr-FR"/>
        </w:rPr>
        <w:t>ltats de cette dernière.</w:t>
      </w:r>
    </w:p>
    <w:p w:rsidR="00DE1BB3" w:rsidRPr="00AC3F97" w:rsidRDefault="00DE1BB3" w:rsidP="00374A5B">
      <w:pPr>
        <w:spacing w:after="0"/>
        <w:jc w:val="both"/>
        <w:rPr>
          <w:rFonts w:asciiTheme="majorHAnsi" w:hAnsiTheme="majorHAnsi" w:cs="Times New Roman"/>
          <w:lang w:val="fr-FR"/>
        </w:rPr>
      </w:pPr>
      <w:r w:rsidRPr="00AC3F97">
        <w:rPr>
          <w:rFonts w:asciiTheme="majorHAnsi" w:hAnsiTheme="majorHAnsi" w:cs="Times New Roman"/>
          <w:lang w:val="fr-FR"/>
        </w:rPr>
        <w:lastRenderedPageBreak/>
        <w:t xml:space="preserve">Au sein de </w:t>
      </w:r>
      <w:r w:rsidR="00BA5E9E">
        <w:rPr>
          <w:rFonts w:asciiTheme="majorHAnsi" w:hAnsiTheme="majorHAnsi" w:cs="Times New Roman"/>
          <w:lang w:val="fr-FR"/>
        </w:rPr>
        <w:t>XYZ</w:t>
      </w:r>
      <w:r w:rsidRPr="00AC3F97">
        <w:rPr>
          <w:rFonts w:asciiTheme="majorHAnsi" w:hAnsiTheme="majorHAnsi" w:cs="Times New Roman"/>
          <w:lang w:val="fr-FR"/>
        </w:rPr>
        <w:t xml:space="preserve">, l’intéressement </w:t>
      </w:r>
      <w:r w:rsidR="00E46CDB" w:rsidRPr="00AC3F97">
        <w:rPr>
          <w:rFonts w:asciiTheme="majorHAnsi" w:hAnsiTheme="majorHAnsi" w:cs="Times New Roman"/>
          <w:lang w:val="fr-FR"/>
        </w:rPr>
        <w:t>est</w:t>
      </w:r>
      <w:r w:rsidRPr="00AC3F97">
        <w:rPr>
          <w:rFonts w:asciiTheme="majorHAnsi" w:hAnsiTheme="majorHAnsi" w:cs="Times New Roman"/>
          <w:lang w:val="fr-FR"/>
        </w:rPr>
        <w:t xml:space="preserve"> effectif dès que les 80% du Résultat Opérationnel Courant budgété sont atteints.</w:t>
      </w:r>
    </w:p>
    <w:p w:rsidR="00BE227F" w:rsidRPr="00AC3F97" w:rsidRDefault="00BE227F" w:rsidP="00374A5B">
      <w:pPr>
        <w:spacing w:after="0"/>
        <w:jc w:val="both"/>
        <w:rPr>
          <w:rFonts w:asciiTheme="majorHAnsi" w:hAnsiTheme="majorHAnsi" w:cs="Times New Roman"/>
          <w:lang w:val="fr-FR"/>
        </w:rPr>
      </w:pPr>
      <w:r w:rsidRPr="00AC3F97">
        <w:rPr>
          <w:rFonts w:asciiTheme="majorHAnsi" w:hAnsiTheme="majorHAnsi" w:cs="Times New Roman"/>
          <w:lang w:val="fr-FR"/>
        </w:rPr>
        <w:t>Cependant, si le versement de la prime d’intéressement devait porter le ROC en dessous de 80% du ROC budgété, une limite à la prime serait fixée de telle sorte qu’après intéressement, le ROC soit égale à 80% du ROC budgété.</w:t>
      </w:r>
    </w:p>
    <w:p w:rsidR="005E7A15" w:rsidRPr="00AC3F97" w:rsidRDefault="005E7A15" w:rsidP="00374A5B">
      <w:pPr>
        <w:spacing w:after="0"/>
        <w:jc w:val="both"/>
        <w:rPr>
          <w:rFonts w:asciiTheme="majorHAnsi" w:hAnsiTheme="majorHAnsi" w:cs="Times New Roman"/>
          <w:lang w:val="fr-FR"/>
        </w:rPr>
      </w:pPr>
      <w:r w:rsidRPr="00AC3F97">
        <w:rPr>
          <w:rFonts w:asciiTheme="majorHAnsi" w:hAnsiTheme="majorHAnsi" w:cs="Times New Roman"/>
          <w:lang w:val="fr-FR"/>
        </w:rPr>
        <w:t>Une limite minimale est fixée à la prime d’intéressement. Elle ne doit pas être inférieure à 100 euros, multipliés par le nombre de bénéficiaires de la prime, soit 100xNb Salariés.</w:t>
      </w:r>
    </w:p>
    <w:p w:rsidR="00132608" w:rsidRPr="00AC3F97" w:rsidRDefault="00132608" w:rsidP="00374A5B">
      <w:pPr>
        <w:spacing w:after="0"/>
        <w:jc w:val="both"/>
        <w:rPr>
          <w:rFonts w:asciiTheme="majorHAnsi" w:hAnsiTheme="majorHAnsi" w:cs="Times New Roman"/>
          <w:lang w:val="fr-FR"/>
        </w:rPr>
      </w:pPr>
      <w:r w:rsidRPr="00AC3F97">
        <w:rPr>
          <w:rFonts w:asciiTheme="majorHAnsi" w:hAnsiTheme="majorHAnsi" w:cs="Times New Roman"/>
          <w:lang w:val="fr-FR"/>
        </w:rPr>
        <w:t>Le montant du ROC budgété est fixé par voie d’avenant à l’accord d’intéressement dans les mêmes modalités que l’accord initial. C’est-à-dire que si cet accord a été rédigé au format numérique, le montant du ROC budgété doit être ajouté de la même manière.</w:t>
      </w:r>
      <w:r w:rsidR="002C2E7D" w:rsidRPr="00AC3F97">
        <w:rPr>
          <w:rFonts w:asciiTheme="majorHAnsi" w:hAnsiTheme="majorHAnsi" w:cs="Times New Roman"/>
          <w:lang w:val="fr-FR"/>
        </w:rPr>
        <w:t xml:space="preserve"> </w:t>
      </w:r>
    </w:p>
    <w:p w:rsidR="002C2E7D" w:rsidRPr="00AC3F97" w:rsidRDefault="002C2E7D"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Dans le cas contraire, ou bien si le ROC n’est pas fixé, l’accord sur l’intéressement serait jugé </w:t>
      </w:r>
      <w:r w:rsidR="00660B8D" w:rsidRPr="00AC3F97">
        <w:rPr>
          <w:rFonts w:asciiTheme="majorHAnsi" w:hAnsiTheme="majorHAnsi" w:cs="Times New Roman"/>
          <w:lang w:val="fr-FR"/>
        </w:rPr>
        <w:t>non recevable.</w:t>
      </w:r>
    </w:p>
    <w:p w:rsidR="002C2E7D" w:rsidRPr="00AC3F97" w:rsidRDefault="002C2E7D"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Pour les exercices de 2016 et 2017, </w:t>
      </w:r>
      <w:r w:rsidR="00FE3EDC" w:rsidRPr="00AC3F97">
        <w:rPr>
          <w:rFonts w:asciiTheme="majorHAnsi" w:hAnsiTheme="majorHAnsi" w:cs="Times New Roman"/>
          <w:lang w:val="fr-FR"/>
        </w:rPr>
        <w:t>le</w:t>
      </w:r>
      <w:r w:rsidRPr="00AC3F97">
        <w:rPr>
          <w:rFonts w:asciiTheme="majorHAnsi" w:hAnsiTheme="majorHAnsi" w:cs="Times New Roman"/>
          <w:lang w:val="fr-FR"/>
        </w:rPr>
        <w:t xml:space="preserve"> montant </w:t>
      </w:r>
      <w:r w:rsidR="00FE3EDC" w:rsidRPr="00AC3F97">
        <w:rPr>
          <w:rFonts w:asciiTheme="majorHAnsi" w:hAnsiTheme="majorHAnsi" w:cs="Times New Roman"/>
          <w:lang w:val="fr-FR"/>
        </w:rPr>
        <w:t xml:space="preserve">du ROC budgété </w:t>
      </w:r>
      <w:r w:rsidRPr="00AC3F97">
        <w:rPr>
          <w:rFonts w:asciiTheme="majorHAnsi" w:hAnsiTheme="majorHAnsi" w:cs="Times New Roman"/>
          <w:lang w:val="fr-FR"/>
        </w:rPr>
        <w:t>est fixé en début d’année.</w:t>
      </w:r>
    </w:p>
    <w:p w:rsidR="0016063A" w:rsidRPr="00AC3F97" w:rsidRDefault="0016063A" w:rsidP="00374A5B">
      <w:pPr>
        <w:spacing w:after="0"/>
        <w:jc w:val="both"/>
        <w:rPr>
          <w:rFonts w:asciiTheme="majorHAnsi" w:hAnsiTheme="majorHAnsi" w:cs="Times New Roman"/>
          <w:lang w:val="fr-FR"/>
        </w:rPr>
      </w:pPr>
    </w:p>
    <w:p w:rsidR="0016063A" w:rsidRPr="00AC3F97" w:rsidRDefault="0016063A" w:rsidP="00374A5B">
      <w:pPr>
        <w:pStyle w:val="Titre3"/>
        <w:spacing w:before="0"/>
        <w:rPr>
          <w:lang w:val="fr-FR"/>
        </w:rPr>
      </w:pPr>
      <w:r w:rsidRPr="00AC3F97">
        <w:rPr>
          <w:lang w:val="fr-FR"/>
        </w:rPr>
        <w:tab/>
        <w:t>Modulateurs</w:t>
      </w:r>
    </w:p>
    <w:p w:rsidR="0016063A" w:rsidRPr="00AC3F97" w:rsidRDefault="0016063A" w:rsidP="00374A5B">
      <w:pPr>
        <w:spacing w:after="0"/>
        <w:jc w:val="both"/>
        <w:rPr>
          <w:rFonts w:asciiTheme="majorHAnsi" w:hAnsiTheme="majorHAnsi" w:cs="Times New Roman"/>
          <w:lang w:val="fr-FR"/>
        </w:rPr>
      </w:pPr>
    </w:p>
    <w:p w:rsidR="0016063A" w:rsidRPr="00AC3F97" w:rsidRDefault="0016063A" w:rsidP="00374A5B">
      <w:pPr>
        <w:spacing w:after="0"/>
        <w:jc w:val="both"/>
        <w:rPr>
          <w:rFonts w:asciiTheme="majorHAnsi" w:hAnsiTheme="majorHAnsi" w:cs="Times New Roman"/>
          <w:lang w:val="fr-FR"/>
        </w:rPr>
      </w:pPr>
      <w:r w:rsidRPr="00AC3F97">
        <w:rPr>
          <w:rFonts w:asciiTheme="majorHAnsi" w:hAnsiTheme="majorHAnsi" w:cs="Times New Roman"/>
          <w:lang w:val="fr-FR"/>
        </w:rPr>
        <w:t xml:space="preserve">Afin de déterminer quel volume de l’intéressement sera réellement distribué, l’entreprise </w:t>
      </w:r>
      <w:r w:rsidR="00BA5E9E">
        <w:rPr>
          <w:rFonts w:asciiTheme="majorHAnsi" w:hAnsiTheme="majorHAnsi" w:cs="Times New Roman"/>
          <w:lang w:val="fr-FR"/>
        </w:rPr>
        <w:t>XYZ</w:t>
      </w:r>
      <w:r w:rsidRPr="00AC3F97">
        <w:rPr>
          <w:rFonts w:asciiTheme="majorHAnsi" w:hAnsiTheme="majorHAnsi" w:cs="Times New Roman"/>
          <w:lang w:val="fr-FR"/>
        </w:rPr>
        <w:t xml:space="preserve"> se base sur deux modulateurs. Le premier, les prises de commandes, concerne la nécessité de développer les activités. Le second, le taux de recrutement de jeunes en CDI jusque 27 ans inclus, se réfère à la nécessité d’intégrer d’avantage de jeunes au sein de la société.</w:t>
      </w:r>
    </w:p>
    <w:p w:rsidR="00632413" w:rsidRPr="00AC3F97" w:rsidRDefault="00FA44FE" w:rsidP="00374A5B">
      <w:pPr>
        <w:spacing w:after="0"/>
        <w:jc w:val="both"/>
        <w:rPr>
          <w:rFonts w:asciiTheme="majorHAnsi" w:hAnsiTheme="majorHAnsi" w:cs="Times New Roman"/>
          <w:lang w:val="fr-FR"/>
        </w:rPr>
      </w:pPr>
      <w:r w:rsidRPr="00AC3F97">
        <w:rPr>
          <w:rFonts w:asciiTheme="majorHAnsi" w:hAnsiTheme="majorHAnsi" w:cs="Times New Roman"/>
          <w:lang w:val="fr-FR"/>
        </w:rPr>
        <w:t>Les montants objectifs de ces deux modulateurs sont fixés par voir d’avenant à l’accord d’intéressement.</w:t>
      </w:r>
    </w:p>
    <w:p w:rsidR="00FA44FE" w:rsidRPr="00AC3F97" w:rsidRDefault="00632413" w:rsidP="00374A5B">
      <w:pPr>
        <w:spacing w:after="0"/>
        <w:jc w:val="both"/>
        <w:rPr>
          <w:rFonts w:asciiTheme="majorHAnsi" w:hAnsiTheme="majorHAnsi" w:cs="Times New Roman"/>
          <w:lang w:val="fr-FR"/>
        </w:rPr>
      </w:pPr>
      <w:r w:rsidRPr="00AC3F97">
        <w:rPr>
          <w:rFonts w:asciiTheme="majorHAnsi" w:hAnsiTheme="majorHAnsi" w:cs="Times New Roman"/>
          <w:lang w:val="fr-FR"/>
        </w:rPr>
        <w:t>Il est également convenu que, chaque trimestre, une information relative au niveau de réalisation des différents modulateurs par rapport à l’objectif fixé sera communiquée aux membres du comité central de l’entreprise.</w:t>
      </w:r>
      <w:r w:rsidR="00FA44FE" w:rsidRPr="00AC3F97">
        <w:rPr>
          <w:rFonts w:asciiTheme="majorHAnsi" w:hAnsiTheme="majorHAnsi" w:cs="Times New Roman"/>
          <w:lang w:val="fr-FR"/>
        </w:rPr>
        <w:t xml:space="preserve"> </w:t>
      </w:r>
      <w:r w:rsidR="00A217CD" w:rsidRPr="00AC3F97">
        <w:rPr>
          <w:rFonts w:asciiTheme="majorHAnsi" w:hAnsiTheme="majorHAnsi" w:cs="Times New Roman"/>
          <w:lang w:val="fr-FR"/>
        </w:rPr>
        <w:t>Celui-ci est composé du chef d’entreprise, de délégués titulaires et suppléants pour chaque établissement et de représentants syndicaux.</w:t>
      </w:r>
    </w:p>
    <w:p w:rsidR="00572FB3" w:rsidRPr="00AC3F97" w:rsidRDefault="00572FB3" w:rsidP="00374A5B">
      <w:pPr>
        <w:spacing w:after="0"/>
        <w:jc w:val="both"/>
        <w:rPr>
          <w:rFonts w:asciiTheme="majorHAnsi" w:hAnsiTheme="majorHAnsi" w:cs="Times New Roman"/>
          <w:lang w:val="fr-FR"/>
        </w:rPr>
      </w:pPr>
    </w:p>
    <w:p w:rsidR="00572FB3" w:rsidRDefault="00572FB3" w:rsidP="00374A5B">
      <w:pPr>
        <w:pStyle w:val="Titre1"/>
        <w:spacing w:before="0"/>
        <w:rPr>
          <w:lang w:val="fr-FR"/>
        </w:rPr>
      </w:pPr>
      <w:r w:rsidRPr="00AC3F97">
        <w:rPr>
          <w:lang w:val="fr-FR"/>
        </w:rPr>
        <w:t>Calcul de l’intéressement.</w:t>
      </w:r>
    </w:p>
    <w:p w:rsidR="0037371E" w:rsidRDefault="0037371E" w:rsidP="00374A5B">
      <w:pPr>
        <w:spacing w:after="0"/>
        <w:jc w:val="both"/>
        <w:rPr>
          <w:rFonts w:asciiTheme="majorHAnsi" w:hAnsiTheme="majorHAnsi" w:cs="Times New Roman"/>
          <w:lang w:val="fr-FR"/>
        </w:rPr>
      </w:pPr>
    </w:p>
    <w:p w:rsidR="0037371E" w:rsidRDefault="0037371E" w:rsidP="00374A5B">
      <w:pPr>
        <w:spacing w:after="0"/>
        <w:jc w:val="both"/>
        <w:rPr>
          <w:rFonts w:asciiTheme="majorHAnsi" w:hAnsiTheme="majorHAnsi" w:cs="Times New Roman"/>
          <w:lang w:val="fr-FR"/>
        </w:rPr>
      </w:pPr>
      <w:r>
        <w:rPr>
          <w:rFonts w:asciiTheme="majorHAnsi" w:hAnsiTheme="majorHAnsi" w:cs="Times New Roman"/>
          <w:lang w:val="fr-FR"/>
        </w:rPr>
        <w:t xml:space="preserve">La formule suivante détermine le montant global de l’intéressement principal aux résultats de l’entreprise : </w:t>
      </w:r>
    </w:p>
    <w:p w:rsidR="0037371E" w:rsidRDefault="0037371E" w:rsidP="00374A5B">
      <w:pPr>
        <w:spacing w:after="0"/>
        <w:jc w:val="both"/>
        <w:rPr>
          <w:rFonts w:asciiTheme="majorHAnsi" w:hAnsiTheme="majorHAnsi" w:cs="Times New Roman"/>
          <w:lang w:val="fr-FR"/>
        </w:rPr>
      </w:pPr>
    </w:p>
    <w:p w:rsidR="0037371E" w:rsidRPr="00C1743F" w:rsidRDefault="0037371E" w:rsidP="00374A5B">
      <w:pPr>
        <w:spacing w:after="0"/>
        <w:jc w:val="both"/>
        <w:rPr>
          <w:rFonts w:asciiTheme="majorHAnsi" w:hAnsiTheme="majorHAnsi" w:cs="Times New Roman"/>
          <w:lang w:val="it-IT"/>
        </w:rPr>
      </w:pPr>
      <w:r w:rsidRPr="00C1743F">
        <w:rPr>
          <w:rFonts w:asciiTheme="majorHAnsi" w:hAnsiTheme="majorHAnsi" w:cs="Times New Roman"/>
          <w:lang w:val="it-IT"/>
        </w:rPr>
        <w:t>I = [ROC*</w:t>
      </w:r>
      <w:proofErr w:type="spellStart"/>
      <w:r w:rsidRPr="00C1743F">
        <w:rPr>
          <w:rFonts w:asciiTheme="majorHAnsi" w:hAnsiTheme="majorHAnsi" w:cs="Times New Roman"/>
          <w:lang w:val="it-IT"/>
        </w:rPr>
        <w:t>tx</w:t>
      </w:r>
      <w:proofErr w:type="spellEnd"/>
      <w:r w:rsidRPr="00C1743F">
        <w:rPr>
          <w:rFonts w:asciiTheme="majorHAnsi" w:hAnsiTheme="majorHAnsi" w:cs="Times New Roman"/>
          <w:lang w:val="it-IT"/>
        </w:rPr>
        <w:t>%]*[1+</w:t>
      </w:r>
      <w:proofErr w:type="gramStart"/>
      <w:r w:rsidRPr="00C1743F">
        <w:rPr>
          <w:rFonts w:asciiTheme="majorHAnsi" w:hAnsiTheme="majorHAnsi" w:cs="Times New Roman"/>
          <w:lang w:val="it-IT"/>
        </w:rPr>
        <w:t>(</w:t>
      </w:r>
      <w:proofErr w:type="spellStart"/>
      <w:proofErr w:type="gramEnd"/>
      <w:r w:rsidRPr="00C1743F">
        <w:rPr>
          <w:rFonts w:asciiTheme="majorHAnsi" w:hAnsiTheme="majorHAnsi" w:cs="Times New Roman"/>
          <w:lang w:val="it-IT"/>
        </w:rPr>
        <w:t>kP</w:t>
      </w:r>
      <w:proofErr w:type="spellEnd"/>
      <w:r w:rsidRPr="00C1743F">
        <w:rPr>
          <w:rFonts w:asciiTheme="majorHAnsi" w:hAnsiTheme="majorHAnsi" w:cs="Times New Roman"/>
          <w:lang w:val="it-IT"/>
        </w:rPr>
        <w:t xml:space="preserve"> + </w:t>
      </w:r>
      <w:proofErr w:type="spellStart"/>
      <w:r w:rsidRPr="00C1743F">
        <w:rPr>
          <w:rFonts w:asciiTheme="majorHAnsi" w:hAnsiTheme="majorHAnsi" w:cs="Times New Roman"/>
          <w:lang w:val="it-IT"/>
        </w:rPr>
        <w:t>kS</w:t>
      </w:r>
      <w:proofErr w:type="spellEnd"/>
      <w:r w:rsidRPr="00C1743F">
        <w:rPr>
          <w:rFonts w:asciiTheme="majorHAnsi" w:hAnsiTheme="majorHAnsi" w:cs="Times New Roman"/>
          <w:lang w:val="it-IT"/>
        </w:rPr>
        <w:t>)]</w:t>
      </w:r>
    </w:p>
    <w:p w:rsidR="00367F6F" w:rsidRPr="00C1743F" w:rsidRDefault="00367F6F" w:rsidP="00374A5B">
      <w:pPr>
        <w:spacing w:after="0"/>
        <w:jc w:val="both"/>
        <w:rPr>
          <w:rFonts w:asciiTheme="majorHAnsi" w:hAnsiTheme="majorHAnsi" w:cs="Times New Roman"/>
          <w:lang w:val="it-IT"/>
        </w:rPr>
      </w:pPr>
    </w:p>
    <w:p w:rsidR="00367F6F" w:rsidRDefault="00367F6F" w:rsidP="00374A5B">
      <w:pPr>
        <w:spacing w:after="0"/>
        <w:jc w:val="both"/>
        <w:rPr>
          <w:rFonts w:asciiTheme="majorHAnsi" w:hAnsiTheme="majorHAnsi" w:cs="Times New Roman"/>
          <w:lang w:val="fr-FR"/>
        </w:rPr>
      </w:pPr>
      <w:r w:rsidRPr="00367F6F">
        <w:rPr>
          <w:rFonts w:asciiTheme="majorHAnsi" w:hAnsiTheme="majorHAnsi" w:cs="Times New Roman"/>
          <w:lang w:val="fr-FR"/>
        </w:rPr>
        <w:t xml:space="preserve">ROC désigne </w:t>
      </w:r>
      <w:r>
        <w:rPr>
          <w:rFonts w:asciiTheme="majorHAnsi" w:hAnsiTheme="majorHAnsi" w:cs="Times New Roman"/>
          <w:lang w:val="fr-FR"/>
        </w:rPr>
        <w:t>le Résultat Opérationnel Courant.</w:t>
      </w:r>
    </w:p>
    <w:p w:rsidR="00367F6F" w:rsidRDefault="00367F6F" w:rsidP="00374A5B">
      <w:pPr>
        <w:spacing w:after="0"/>
        <w:jc w:val="both"/>
        <w:rPr>
          <w:rFonts w:asciiTheme="majorHAnsi" w:hAnsiTheme="majorHAnsi" w:cs="Times New Roman"/>
          <w:lang w:val="fr-FR"/>
        </w:rPr>
      </w:pPr>
      <w:proofErr w:type="spellStart"/>
      <w:r>
        <w:rPr>
          <w:rFonts w:asciiTheme="majorHAnsi" w:hAnsiTheme="majorHAnsi" w:cs="Times New Roman"/>
          <w:lang w:val="fr-FR"/>
        </w:rPr>
        <w:t>Tx</w:t>
      </w:r>
      <w:proofErr w:type="spellEnd"/>
      <w:r>
        <w:rPr>
          <w:rFonts w:asciiTheme="majorHAnsi" w:hAnsiTheme="majorHAnsi" w:cs="Times New Roman"/>
          <w:lang w:val="fr-FR"/>
        </w:rPr>
        <w:t xml:space="preserve"> désigne le taux de distribution et s’exprime en pourcentage.</w:t>
      </w:r>
    </w:p>
    <w:p w:rsidR="00367F6F" w:rsidRDefault="00367F6F" w:rsidP="00374A5B">
      <w:pPr>
        <w:spacing w:after="0"/>
        <w:jc w:val="both"/>
        <w:rPr>
          <w:rFonts w:asciiTheme="majorHAnsi" w:hAnsiTheme="majorHAnsi" w:cs="Times New Roman"/>
          <w:lang w:val="fr-FR"/>
        </w:rPr>
      </w:pPr>
      <w:proofErr w:type="spellStart"/>
      <w:proofErr w:type="gramStart"/>
      <w:r>
        <w:rPr>
          <w:rFonts w:asciiTheme="majorHAnsi" w:hAnsiTheme="majorHAnsi" w:cs="Times New Roman"/>
          <w:lang w:val="fr-FR"/>
        </w:rPr>
        <w:t>kP</w:t>
      </w:r>
      <w:proofErr w:type="spellEnd"/>
      <w:proofErr w:type="gramEnd"/>
      <w:r>
        <w:rPr>
          <w:rFonts w:asciiTheme="majorHAnsi" w:hAnsiTheme="majorHAnsi" w:cs="Times New Roman"/>
          <w:lang w:val="fr-FR"/>
        </w:rPr>
        <w:t xml:space="preserve"> désigne le modulateur de Prises de commandes.</w:t>
      </w:r>
    </w:p>
    <w:p w:rsidR="00367F6F" w:rsidRDefault="00367F6F" w:rsidP="00374A5B">
      <w:pPr>
        <w:spacing w:after="0"/>
        <w:jc w:val="both"/>
        <w:rPr>
          <w:rFonts w:asciiTheme="majorHAnsi" w:hAnsiTheme="majorHAnsi" w:cs="Times New Roman"/>
          <w:lang w:val="fr-FR"/>
        </w:rPr>
      </w:pPr>
      <w:proofErr w:type="spellStart"/>
      <w:proofErr w:type="gramStart"/>
      <w:r>
        <w:rPr>
          <w:rFonts w:asciiTheme="majorHAnsi" w:hAnsiTheme="majorHAnsi" w:cs="Times New Roman"/>
          <w:lang w:val="fr-FR"/>
        </w:rPr>
        <w:t>kS</w:t>
      </w:r>
      <w:proofErr w:type="spellEnd"/>
      <w:proofErr w:type="gramEnd"/>
      <w:r>
        <w:rPr>
          <w:rFonts w:asciiTheme="majorHAnsi" w:hAnsiTheme="majorHAnsi" w:cs="Times New Roman"/>
          <w:lang w:val="fr-FR"/>
        </w:rPr>
        <w:t xml:space="preserve"> </w:t>
      </w:r>
      <w:r w:rsidR="000B1F39">
        <w:rPr>
          <w:rFonts w:asciiTheme="majorHAnsi" w:hAnsiTheme="majorHAnsi" w:cs="Times New Roman"/>
          <w:lang w:val="fr-FR"/>
        </w:rPr>
        <w:t>désigne le modulateur social, donc le taux de recrutement des jeunes en CDI.</w:t>
      </w:r>
    </w:p>
    <w:p w:rsidR="00E1067C" w:rsidRDefault="00E1067C" w:rsidP="00374A5B">
      <w:pPr>
        <w:spacing w:after="0"/>
        <w:jc w:val="both"/>
        <w:rPr>
          <w:rFonts w:asciiTheme="majorHAnsi" w:hAnsiTheme="majorHAnsi" w:cs="Times New Roman"/>
          <w:lang w:val="fr-FR"/>
        </w:rPr>
      </w:pPr>
    </w:p>
    <w:p w:rsidR="00C55A7A" w:rsidRDefault="00C55A7A" w:rsidP="00374A5B">
      <w:pPr>
        <w:spacing w:after="0"/>
        <w:jc w:val="both"/>
        <w:rPr>
          <w:rFonts w:asciiTheme="majorHAnsi" w:hAnsiTheme="majorHAnsi" w:cs="Times New Roman"/>
          <w:lang w:val="fr-FR"/>
        </w:rPr>
      </w:pPr>
      <w:r>
        <w:rPr>
          <w:rFonts w:asciiTheme="majorHAnsi" w:hAnsiTheme="majorHAnsi" w:cs="Times New Roman"/>
          <w:lang w:val="fr-FR"/>
        </w:rPr>
        <w:t>Ci-dessous se trouve un tableau récapitulatif des différentes valeurs fixées et obtenues pour l’année 2015.</w:t>
      </w:r>
    </w:p>
    <w:p w:rsidR="00E767F6" w:rsidRDefault="00E767F6" w:rsidP="00374A5B">
      <w:pPr>
        <w:spacing w:after="0"/>
        <w:jc w:val="both"/>
        <w:rPr>
          <w:rFonts w:asciiTheme="majorHAnsi" w:hAnsiTheme="majorHAnsi" w:cs="Times New Roman"/>
          <w:lang w:val="fr-FR"/>
        </w:rPr>
      </w:pPr>
    </w:p>
    <w:p w:rsidR="00893640" w:rsidRDefault="00893640" w:rsidP="00374A5B">
      <w:pPr>
        <w:spacing w:after="0"/>
        <w:jc w:val="both"/>
        <w:rPr>
          <w:rFonts w:asciiTheme="majorHAnsi" w:hAnsiTheme="majorHAnsi" w:cs="Times New Roman"/>
          <w:lang w:val="fr-FR"/>
        </w:rPr>
      </w:pPr>
    </w:p>
    <w:p w:rsidR="00893640" w:rsidRDefault="00893640" w:rsidP="00374A5B">
      <w:pPr>
        <w:spacing w:after="0"/>
        <w:jc w:val="both"/>
        <w:rPr>
          <w:rFonts w:asciiTheme="majorHAnsi" w:hAnsiTheme="majorHAnsi" w:cs="Times New Roman"/>
          <w:lang w:val="fr-FR"/>
        </w:rPr>
      </w:pPr>
    </w:p>
    <w:tbl>
      <w:tblPr>
        <w:tblStyle w:val="Listeclaire-Accent4"/>
        <w:tblW w:w="0" w:type="auto"/>
        <w:tblLook w:val="04A0" w:firstRow="1" w:lastRow="0" w:firstColumn="1" w:lastColumn="0" w:noHBand="0" w:noVBand="1"/>
      </w:tblPr>
      <w:tblGrid>
        <w:gridCol w:w="3055"/>
        <w:gridCol w:w="3056"/>
        <w:gridCol w:w="3056"/>
      </w:tblGrid>
      <w:tr w:rsidR="00E767F6" w:rsidTr="00CE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E767F6" w:rsidRDefault="00E767F6" w:rsidP="00374A5B">
            <w:pPr>
              <w:spacing w:after="0"/>
              <w:jc w:val="center"/>
              <w:rPr>
                <w:rFonts w:asciiTheme="majorHAnsi" w:hAnsiTheme="majorHAnsi" w:cs="Times New Roman"/>
                <w:lang w:val="fr-FR"/>
              </w:rPr>
            </w:pPr>
            <w:r>
              <w:rPr>
                <w:rFonts w:asciiTheme="majorHAnsi" w:hAnsiTheme="majorHAnsi" w:cs="Times New Roman"/>
                <w:lang w:val="fr-FR"/>
              </w:rPr>
              <w:t>Opérande</w:t>
            </w:r>
          </w:p>
        </w:tc>
        <w:tc>
          <w:tcPr>
            <w:tcW w:w="3056" w:type="dxa"/>
          </w:tcPr>
          <w:p w:rsidR="00E767F6" w:rsidRDefault="00E767F6" w:rsidP="00374A5B">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Valeur fixée</w:t>
            </w:r>
          </w:p>
        </w:tc>
        <w:tc>
          <w:tcPr>
            <w:tcW w:w="3056" w:type="dxa"/>
          </w:tcPr>
          <w:p w:rsidR="00E767F6" w:rsidRDefault="00E767F6" w:rsidP="00374A5B">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Valeur atteinte</w:t>
            </w:r>
          </w:p>
        </w:tc>
      </w:tr>
      <w:tr w:rsidR="00E767F6"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E767F6" w:rsidRDefault="00E767F6" w:rsidP="00374A5B">
            <w:pPr>
              <w:spacing w:after="0"/>
              <w:jc w:val="center"/>
              <w:rPr>
                <w:rFonts w:asciiTheme="majorHAnsi" w:hAnsiTheme="majorHAnsi" w:cs="Times New Roman"/>
                <w:lang w:val="fr-FR"/>
              </w:rPr>
            </w:pPr>
            <w:r>
              <w:rPr>
                <w:rFonts w:asciiTheme="majorHAnsi" w:hAnsiTheme="majorHAnsi" w:cs="Times New Roman"/>
                <w:lang w:val="fr-FR"/>
              </w:rPr>
              <w:t>ROC</w:t>
            </w:r>
          </w:p>
        </w:tc>
        <w:tc>
          <w:tcPr>
            <w:tcW w:w="3056" w:type="dxa"/>
          </w:tcPr>
          <w:p w:rsidR="00E767F6" w:rsidRDefault="0029014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144,2M€</w:t>
            </w:r>
          </w:p>
        </w:tc>
        <w:tc>
          <w:tcPr>
            <w:tcW w:w="3056" w:type="dxa"/>
          </w:tcPr>
          <w:p w:rsidR="00E767F6" w:rsidRDefault="0061440E"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171</w:t>
            </w:r>
            <w:r w:rsidR="0033020F">
              <w:rPr>
                <w:rFonts w:asciiTheme="majorHAnsi" w:hAnsiTheme="majorHAnsi" w:cs="Times New Roman"/>
                <w:lang w:val="fr-FR"/>
              </w:rPr>
              <w:t>,8</w:t>
            </w:r>
            <w:r w:rsidR="00290142">
              <w:rPr>
                <w:rFonts w:asciiTheme="majorHAnsi" w:hAnsiTheme="majorHAnsi" w:cs="Times New Roman"/>
                <w:lang w:val="fr-FR"/>
              </w:rPr>
              <w:t>M€</w:t>
            </w:r>
          </w:p>
        </w:tc>
      </w:tr>
      <w:tr w:rsidR="00E767F6" w:rsidTr="00CE23A2">
        <w:tc>
          <w:tcPr>
            <w:cnfStyle w:val="001000000000" w:firstRow="0" w:lastRow="0" w:firstColumn="1" w:lastColumn="0" w:oddVBand="0" w:evenVBand="0" w:oddHBand="0" w:evenHBand="0" w:firstRowFirstColumn="0" w:firstRowLastColumn="0" w:lastRowFirstColumn="0" w:lastRowLastColumn="0"/>
            <w:tcW w:w="3055" w:type="dxa"/>
          </w:tcPr>
          <w:p w:rsidR="00E767F6" w:rsidRDefault="00E767F6" w:rsidP="00374A5B">
            <w:pPr>
              <w:spacing w:after="0"/>
              <w:jc w:val="center"/>
              <w:rPr>
                <w:rFonts w:asciiTheme="majorHAnsi" w:hAnsiTheme="majorHAnsi" w:cs="Times New Roman"/>
                <w:lang w:val="fr-FR"/>
              </w:rPr>
            </w:pPr>
            <w:proofErr w:type="spellStart"/>
            <w:r>
              <w:rPr>
                <w:rFonts w:asciiTheme="majorHAnsi" w:hAnsiTheme="majorHAnsi" w:cs="Times New Roman"/>
                <w:lang w:val="fr-FR"/>
              </w:rPr>
              <w:lastRenderedPageBreak/>
              <w:t>kP</w:t>
            </w:r>
            <w:proofErr w:type="spellEnd"/>
          </w:p>
        </w:tc>
        <w:tc>
          <w:tcPr>
            <w:tcW w:w="3056" w:type="dxa"/>
          </w:tcPr>
          <w:p w:rsidR="00E767F6" w:rsidRDefault="0029014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1698,7M€</w:t>
            </w:r>
          </w:p>
        </w:tc>
        <w:tc>
          <w:tcPr>
            <w:tcW w:w="3056" w:type="dxa"/>
          </w:tcPr>
          <w:p w:rsidR="00E767F6" w:rsidRDefault="0029014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2059M€</w:t>
            </w:r>
          </w:p>
        </w:tc>
      </w:tr>
      <w:tr w:rsidR="00E767F6" w:rsidTr="00CE23A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055" w:type="dxa"/>
          </w:tcPr>
          <w:p w:rsidR="00E767F6" w:rsidRDefault="00E767F6" w:rsidP="00374A5B">
            <w:pPr>
              <w:spacing w:after="0"/>
              <w:jc w:val="center"/>
              <w:rPr>
                <w:rFonts w:asciiTheme="majorHAnsi" w:hAnsiTheme="majorHAnsi" w:cs="Times New Roman"/>
                <w:lang w:val="fr-FR"/>
              </w:rPr>
            </w:pPr>
            <w:proofErr w:type="spellStart"/>
            <w:r>
              <w:rPr>
                <w:rFonts w:asciiTheme="majorHAnsi" w:hAnsiTheme="majorHAnsi" w:cs="Times New Roman"/>
                <w:lang w:val="fr-FR"/>
              </w:rPr>
              <w:t>kS</w:t>
            </w:r>
            <w:proofErr w:type="spellEnd"/>
          </w:p>
        </w:tc>
        <w:tc>
          <w:tcPr>
            <w:tcW w:w="3056" w:type="dxa"/>
          </w:tcPr>
          <w:p w:rsidR="00E767F6" w:rsidRDefault="00876A36"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30%</w:t>
            </w:r>
          </w:p>
        </w:tc>
        <w:tc>
          <w:tcPr>
            <w:tcW w:w="3056" w:type="dxa"/>
          </w:tcPr>
          <w:p w:rsidR="00E767F6" w:rsidRDefault="00876A36"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49%</w:t>
            </w:r>
          </w:p>
        </w:tc>
      </w:tr>
    </w:tbl>
    <w:p w:rsidR="00E767F6" w:rsidRDefault="00E767F6" w:rsidP="00374A5B">
      <w:pPr>
        <w:spacing w:after="0"/>
        <w:jc w:val="both"/>
        <w:rPr>
          <w:rFonts w:asciiTheme="majorHAnsi" w:hAnsiTheme="majorHAnsi" w:cs="Times New Roman"/>
          <w:lang w:val="fr-FR"/>
        </w:rPr>
      </w:pPr>
    </w:p>
    <w:p w:rsidR="005B7018" w:rsidRDefault="005B7018" w:rsidP="00374A5B">
      <w:pPr>
        <w:spacing w:after="0"/>
        <w:jc w:val="both"/>
        <w:rPr>
          <w:rFonts w:asciiTheme="majorHAnsi" w:hAnsiTheme="majorHAnsi" w:cs="Times New Roman"/>
          <w:lang w:val="fr-FR"/>
        </w:rPr>
      </w:pPr>
      <w:r>
        <w:rPr>
          <w:rFonts w:asciiTheme="majorHAnsi" w:hAnsiTheme="majorHAnsi" w:cs="Times New Roman"/>
          <w:lang w:val="fr-FR"/>
        </w:rPr>
        <w:t>Pour le taux de distribution, ses différentes valeurs sont présentes dans le deuxième table</w:t>
      </w:r>
      <w:r w:rsidR="00E24401">
        <w:rPr>
          <w:rFonts w:asciiTheme="majorHAnsi" w:hAnsiTheme="majorHAnsi" w:cs="Times New Roman"/>
          <w:lang w:val="fr-FR"/>
        </w:rPr>
        <w:t>a</w:t>
      </w:r>
      <w:r>
        <w:rPr>
          <w:rFonts w:asciiTheme="majorHAnsi" w:hAnsiTheme="majorHAnsi" w:cs="Times New Roman"/>
          <w:lang w:val="fr-FR"/>
        </w:rPr>
        <w:t>u.</w:t>
      </w:r>
    </w:p>
    <w:p w:rsidR="005B7018" w:rsidRDefault="005B7018" w:rsidP="00374A5B">
      <w:pPr>
        <w:spacing w:after="0"/>
        <w:jc w:val="both"/>
        <w:rPr>
          <w:rFonts w:asciiTheme="majorHAnsi" w:hAnsiTheme="majorHAnsi" w:cs="Times New Roman"/>
          <w:lang w:val="fr-FR"/>
        </w:rPr>
      </w:pPr>
    </w:p>
    <w:tbl>
      <w:tblPr>
        <w:tblStyle w:val="Listeclaire-Accent4"/>
        <w:tblW w:w="0" w:type="auto"/>
        <w:tblLook w:val="04A0" w:firstRow="1" w:lastRow="0" w:firstColumn="1" w:lastColumn="0" w:noHBand="0" w:noVBand="1"/>
      </w:tblPr>
      <w:tblGrid>
        <w:gridCol w:w="4583"/>
        <w:gridCol w:w="4584"/>
      </w:tblGrid>
      <w:tr w:rsidR="005B7018" w:rsidRPr="00BA5E9E" w:rsidTr="00CE2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Taux de réalisation (ROC réalisé/ROC budgété)</w:t>
            </w:r>
          </w:p>
        </w:tc>
        <w:tc>
          <w:tcPr>
            <w:tcW w:w="4584" w:type="dxa"/>
          </w:tcPr>
          <w:p w:rsidR="005B7018" w:rsidRDefault="006315D2" w:rsidP="00374A5B">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Taux de distribution calculé sur le ROC réalisé</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80,00%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0,80%</w:t>
            </w:r>
          </w:p>
        </w:tc>
      </w:tr>
      <w:tr w:rsidR="005B7018" w:rsidTr="00CE23A2">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82,50%</w:t>
            </w:r>
          </w:p>
        </w:tc>
        <w:tc>
          <w:tcPr>
            <w:tcW w:w="4584" w:type="dxa"/>
          </w:tcPr>
          <w:p w:rsidR="005B7018" w:rsidRDefault="006315D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1,10%</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85,00%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1,40%</w:t>
            </w:r>
          </w:p>
        </w:tc>
      </w:tr>
      <w:tr w:rsidR="005B7018" w:rsidTr="00CE23A2">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87,50%</w:t>
            </w:r>
          </w:p>
        </w:tc>
        <w:tc>
          <w:tcPr>
            <w:tcW w:w="4584" w:type="dxa"/>
          </w:tcPr>
          <w:p w:rsidR="005B7018" w:rsidRDefault="006315D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1,70%</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90,00%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2,00%</w:t>
            </w:r>
          </w:p>
        </w:tc>
      </w:tr>
      <w:tr w:rsidR="005B7018" w:rsidTr="00CE23A2">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92,50%</w:t>
            </w:r>
          </w:p>
        </w:tc>
        <w:tc>
          <w:tcPr>
            <w:tcW w:w="4584" w:type="dxa"/>
          </w:tcPr>
          <w:p w:rsidR="005B7018" w:rsidRDefault="006315D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2,50%</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95,00%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3,00%</w:t>
            </w:r>
          </w:p>
        </w:tc>
      </w:tr>
      <w:tr w:rsidR="005B7018" w:rsidTr="00CE23A2">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97,50%</w:t>
            </w:r>
          </w:p>
        </w:tc>
        <w:tc>
          <w:tcPr>
            <w:tcW w:w="4584" w:type="dxa"/>
          </w:tcPr>
          <w:p w:rsidR="005B7018" w:rsidRDefault="006315D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3,50%</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100,00%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4,00%</w:t>
            </w:r>
          </w:p>
        </w:tc>
      </w:tr>
      <w:tr w:rsidR="005B7018" w:rsidTr="00CE23A2">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102,50%</w:t>
            </w:r>
          </w:p>
        </w:tc>
        <w:tc>
          <w:tcPr>
            <w:tcW w:w="4584" w:type="dxa"/>
          </w:tcPr>
          <w:p w:rsidR="005B7018" w:rsidRDefault="006315D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4,50%</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105,00%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5,00%</w:t>
            </w:r>
          </w:p>
        </w:tc>
      </w:tr>
      <w:tr w:rsidR="005B7018" w:rsidTr="00CE23A2">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107,50%</w:t>
            </w:r>
          </w:p>
        </w:tc>
        <w:tc>
          <w:tcPr>
            <w:tcW w:w="4584" w:type="dxa"/>
          </w:tcPr>
          <w:p w:rsidR="005B7018" w:rsidRDefault="006315D2" w:rsidP="00374A5B">
            <w:pPr>
              <w:spacing w:after="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5,50%</w:t>
            </w:r>
          </w:p>
        </w:tc>
      </w:tr>
      <w:tr w:rsidR="005B7018" w:rsidTr="00CE23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3" w:type="dxa"/>
          </w:tcPr>
          <w:p w:rsidR="005B7018" w:rsidRDefault="006315D2" w:rsidP="00374A5B">
            <w:pPr>
              <w:spacing w:after="0"/>
              <w:jc w:val="center"/>
              <w:rPr>
                <w:rFonts w:asciiTheme="majorHAnsi" w:hAnsiTheme="majorHAnsi" w:cs="Times New Roman"/>
                <w:lang w:val="fr-FR"/>
              </w:rPr>
            </w:pPr>
            <w:r>
              <w:rPr>
                <w:rFonts w:asciiTheme="majorHAnsi" w:hAnsiTheme="majorHAnsi" w:cs="Times New Roman"/>
                <w:lang w:val="fr-FR"/>
              </w:rPr>
              <w:t>110,00%</w:t>
            </w:r>
          </w:p>
        </w:tc>
        <w:tc>
          <w:tcPr>
            <w:tcW w:w="4584" w:type="dxa"/>
          </w:tcPr>
          <w:p w:rsidR="005B7018" w:rsidRDefault="006315D2" w:rsidP="00374A5B">
            <w:pPr>
              <w:spacing w:after="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lang w:val="fr-FR"/>
              </w:rPr>
            </w:pPr>
            <w:r>
              <w:rPr>
                <w:rFonts w:asciiTheme="majorHAnsi" w:hAnsiTheme="majorHAnsi" w:cs="Times New Roman"/>
                <w:lang w:val="fr-FR"/>
              </w:rPr>
              <w:t>6,00%</w:t>
            </w:r>
          </w:p>
        </w:tc>
      </w:tr>
    </w:tbl>
    <w:p w:rsidR="005B7018" w:rsidRDefault="005B7018" w:rsidP="00374A5B">
      <w:pPr>
        <w:spacing w:after="0"/>
        <w:jc w:val="both"/>
        <w:rPr>
          <w:rFonts w:asciiTheme="majorHAnsi" w:hAnsiTheme="majorHAnsi" w:cs="Times New Roman"/>
          <w:lang w:val="fr-FR"/>
        </w:rPr>
      </w:pPr>
    </w:p>
    <w:p w:rsidR="0008783A" w:rsidRDefault="0008783A" w:rsidP="00374A5B">
      <w:pPr>
        <w:spacing w:after="0"/>
        <w:jc w:val="both"/>
        <w:rPr>
          <w:rFonts w:asciiTheme="majorHAnsi" w:hAnsiTheme="majorHAnsi" w:cs="Times New Roman"/>
          <w:lang w:val="fr-FR"/>
        </w:rPr>
      </w:pPr>
      <w:r>
        <w:rPr>
          <w:rFonts w:asciiTheme="majorHAnsi" w:hAnsiTheme="majorHAnsi" w:cs="Times New Roman"/>
          <w:lang w:val="fr-FR"/>
        </w:rPr>
        <w:t xml:space="preserve">Si PC réelles &gt;= 120% PC budget, </w:t>
      </w:r>
      <w:proofErr w:type="spellStart"/>
      <w:r>
        <w:rPr>
          <w:rFonts w:asciiTheme="majorHAnsi" w:hAnsiTheme="majorHAnsi" w:cs="Times New Roman"/>
          <w:lang w:val="fr-FR"/>
        </w:rPr>
        <w:t>kP</w:t>
      </w:r>
      <w:proofErr w:type="spellEnd"/>
      <w:r>
        <w:rPr>
          <w:rFonts w:asciiTheme="majorHAnsi" w:hAnsiTheme="majorHAnsi" w:cs="Times New Roman"/>
          <w:lang w:val="fr-FR"/>
        </w:rPr>
        <w:t xml:space="preserve"> = +0.1</w:t>
      </w:r>
    </w:p>
    <w:p w:rsidR="0008783A" w:rsidRDefault="0008783A" w:rsidP="00374A5B">
      <w:pPr>
        <w:spacing w:after="0"/>
        <w:jc w:val="both"/>
        <w:rPr>
          <w:rFonts w:asciiTheme="majorHAnsi" w:hAnsiTheme="majorHAnsi" w:cs="Times New Roman"/>
          <w:lang w:val="fr-FR"/>
        </w:rPr>
      </w:pPr>
      <w:r>
        <w:rPr>
          <w:rFonts w:asciiTheme="majorHAnsi" w:hAnsiTheme="majorHAnsi" w:cs="Times New Roman"/>
          <w:lang w:val="fr-FR"/>
        </w:rPr>
        <w:t xml:space="preserve">Si PC réelles = PC budget, </w:t>
      </w:r>
      <w:proofErr w:type="spellStart"/>
      <w:r>
        <w:rPr>
          <w:rFonts w:asciiTheme="majorHAnsi" w:hAnsiTheme="majorHAnsi" w:cs="Times New Roman"/>
          <w:lang w:val="fr-FR"/>
        </w:rPr>
        <w:t>kP</w:t>
      </w:r>
      <w:proofErr w:type="spellEnd"/>
      <w:r>
        <w:rPr>
          <w:rFonts w:asciiTheme="majorHAnsi" w:hAnsiTheme="majorHAnsi" w:cs="Times New Roman"/>
          <w:lang w:val="fr-FR"/>
        </w:rPr>
        <w:t xml:space="preserve"> = 0</w:t>
      </w:r>
    </w:p>
    <w:p w:rsidR="0008783A" w:rsidRDefault="0008783A" w:rsidP="00374A5B">
      <w:pPr>
        <w:spacing w:after="0"/>
        <w:jc w:val="both"/>
        <w:rPr>
          <w:rFonts w:asciiTheme="majorHAnsi" w:hAnsiTheme="majorHAnsi" w:cs="Times New Roman"/>
          <w:lang w:val="fr-FR"/>
        </w:rPr>
      </w:pPr>
      <w:r>
        <w:rPr>
          <w:rFonts w:asciiTheme="majorHAnsi" w:hAnsiTheme="majorHAnsi" w:cs="Times New Roman"/>
          <w:lang w:val="fr-FR"/>
        </w:rPr>
        <w:t xml:space="preserve">Si PC réelles &lt;= 80% PC budget, </w:t>
      </w:r>
      <w:proofErr w:type="spellStart"/>
      <w:r>
        <w:rPr>
          <w:rFonts w:asciiTheme="majorHAnsi" w:hAnsiTheme="majorHAnsi" w:cs="Times New Roman"/>
          <w:lang w:val="fr-FR"/>
        </w:rPr>
        <w:t>kP</w:t>
      </w:r>
      <w:proofErr w:type="spellEnd"/>
      <w:r>
        <w:rPr>
          <w:rFonts w:asciiTheme="majorHAnsi" w:hAnsiTheme="majorHAnsi" w:cs="Times New Roman"/>
          <w:lang w:val="fr-FR"/>
        </w:rPr>
        <w:t xml:space="preserve"> = -0,1</w:t>
      </w:r>
    </w:p>
    <w:p w:rsidR="0038466F" w:rsidRDefault="0038466F" w:rsidP="00374A5B">
      <w:pPr>
        <w:spacing w:after="0"/>
        <w:jc w:val="both"/>
        <w:rPr>
          <w:rFonts w:asciiTheme="majorHAnsi" w:hAnsiTheme="majorHAnsi" w:cs="Times New Roman"/>
          <w:lang w:val="fr-FR"/>
        </w:rPr>
      </w:pPr>
    </w:p>
    <w:p w:rsidR="0038466F" w:rsidRDefault="0038466F" w:rsidP="00374A5B">
      <w:pPr>
        <w:spacing w:after="0"/>
        <w:jc w:val="both"/>
        <w:rPr>
          <w:rFonts w:asciiTheme="majorHAnsi" w:hAnsiTheme="majorHAnsi" w:cs="Times New Roman"/>
          <w:lang w:val="fr-FR"/>
        </w:rPr>
      </w:pPr>
      <w:r>
        <w:rPr>
          <w:rFonts w:asciiTheme="majorHAnsi" w:hAnsiTheme="majorHAnsi" w:cs="Times New Roman"/>
          <w:noProof/>
          <w:lang w:val="fr-FR" w:eastAsia="fr-FR"/>
        </w:rPr>
        <w:drawing>
          <wp:inline distT="0" distB="0" distL="0" distR="0" wp14:anchorId="25F82B97" wp14:editId="3CAD1559">
            <wp:extent cx="4991797" cy="2753109"/>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eur kP.PNG"/>
                    <pic:cNvPicPr/>
                  </pic:nvPicPr>
                  <pic:blipFill>
                    <a:blip r:embed="rId8">
                      <a:extLst>
                        <a:ext uri="{28A0092B-C50C-407E-A947-70E740481C1C}">
                          <a14:useLocalDpi xmlns:a14="http://schemas.microsoft.com/office/drawing/2010/main" val="0"/>
                        </a:ext>
                      </a:extLst>
                    </a:blip>
                    <a:stretch>
                      <a:fillRect/>
                    </a:stretch>
                  </pic:blipFill>
                  <pic:spPr>
                    <a:xfrm>
                      <a:off x="0" y="0"/>
                      <a:ext cx="4991797" cy="2753109"/>
                    </a:xfrm>
                    <a:prstGeom prst="rect">
                      <a:avLst/>
                    </a:prstGeom>
                  </pic:spPr>
                </pic:pic>
              </a:graphicData>
            </a:graphic>
          </wp:inline>
        </w:drawing>
      </w:r>
    </w:p>
    <w:p w:rsidR="00A84907" w:rsidRDefault="00A84907" w:rsidP="00374A5B">
      <w:pPr>
        <w:spacing w:after="0"/>
        <w:jc w:val="both"/>
        <w:rPr>
          <w:rFonts w:asciiTheme="majorHAnsi" w:hAnsiTheme="majorHAnsi" w:cs="Times New Roman"/>
          <w:lang w:val="fr-FR"/>
        </w:rPr>
      </w:pPr>
    </w:p>
    <w:p w:rsidR="004C10A7" w:rsidRDefault="004C10A7" w:rsidP="00374A5B">
      <w:pPr>
        <w:spacing w:after="0"/>
        <w:jc w:val="both"/>
        <w:rPr>
          <w:rFonts w:asciiTheme="majorHAnsi" w:hAnsiTheme="majorHAnsi" w:cs="Times New Roman"/>
          <w:lang w:val="fr-FR"/>
        </w:rPr>
      </w:pPr>
      <w:r>
        <w:rPr>
          <w:rFonts w:asciiTheme="majorHAnsi" w:hAnsiTheme="majorHAnsi" w:cs="Times New Roman"/>
          <w:lang w:val="fr-FR"/>
        </w:rPr>
        <w:t xml:space="preserve">Si le taux de recrutement externe des jeunes &gt;= 5% du taux objectif, </w:t>
      </w:r>
      <w:proofErr w:type="spellStart"/>
      <w:r>
        <w:rPr>
          <w:rFonts w:asciiTheme="majorHAnsi" w:hAnsiTheme="majorHAnsi" w:cs="Times New Roman"/>
          <w:lang w:val="fr-FR"/>
        </w:rPr>
        <w:t>kS</w:t>
      </w:r>
      <w:proofErr w:type="spellEnd"/>
      <w:r>
        <w:rPr>
          <w:rFonts w:asciiTheme="majorHAnsi" w:hAnsiTheme="majorHAnsi" w:cs="Times New Roman"/>
          <w:lang w:val="fr-FR"/>
        </w:rPr>
        <w:t xml:space="preserve"> = +0.1</w:t>
      </w:r>
    </w:p>
    <w:p w:rsidR="004C10A7" w:rsidRDefault="004C10A7" w:rsidP="00374A5B">
      <w:pPr>
        <w:spacing w:after="0"/>
        <w:jc w:val="both"/>
        <w:rPr>
          <w:rFonts w:asciiTheme="majorHAnsi" w:hAnsiTheme="majorHAnsi" w:cs="Times New Roman"/>
          <w:lang w:val="fr-FR"/>
        </w:rPr>
      </w:pPr>
      <w:r>
        <w:rPr>
          <w:rFonts w:asciiTheme="majorHAnsi" w:hAnsiTheme="majorHAnsi" w:cs="Times New Roman"/>
          <w:lang w:val="fr-FR"/>
        </w:rPr>
        <w:t xml:space="preserve">Si le taux de recrutement externe des jeunes = taux objectif, </w:t>
      </w:r>
      <w:proofErr w:type="spellStart"/>
      <w:r>
        <w:rPr>
          <w:rFonts w:asciiTheme="majorHAnsi" w:hAnsiTheme="majorHAnsi" w:cs="Times New Roman"/>
          <w:lang w:val="fr-FR"/>
        </w:rPr>
        <w:t>kS</w:t>
      </w:r>
      <w:proofErr w:type="spellEnd"/>
      <w:r>
        <w:rPr>
          <w:rFonts w:asciiTheme="majorHAnsi" w:hAnsiTheme="majorHAnsi" w:cs="Times New Roman"/>
          <w:lang w:val="fr-FR"/>
        </w:rPr>
        <w:t xml:space="preserve"> = 0</w:t>
      </w:r>
    </w:p>
    <w:p w:rsidR="004C10A7" w:rsidRDefault="004C10A7" w:rsidP="00374A5B">
      <w:pPr>
        <w:spacing w:after="0"/>
        <w:jc w:val="both"/>
        <w:rPr>
          <w:rFonts w:asciiTheme="majorHAnsi" w:hAnsiTheme="majorHAnsi" w:cs="Times New Roman"/>
          <w:lang w:val="fr-FR"/>
        </w:rPr>
      </w:pPr>
      <w:r>
        <w:rPr>
          <w:rFonts w:asciiTheme="majorHAnsi" w:hAnsiTheme="majorHAnsi" w:cs="Times New Roman"/>
          <w:lang w:val="fr-FR"/>
        </w:rPr>
        <w:t xml:space="preserve">Si le taux de recrutement externe des jeunes &lt;= 5% du taux objectif, </w:t>
      </w:r>
      <w:proofErr w:type="spellStart"/>
      <w:r>
        <w:rPr>
          <w:rFonts w:asciiTheme="majorHAnsi" w:hAnsiTheme="majorHAnsi" w:cs="Times New Roman"/>
          <w:lang w:val="fr-FR"/>
        </w:rPr>
        <w:t>kS</w:t>
      </w:r>
      <w:proofErr w:type="spellEnd"/>
      <w:r>
        <w:rPr>
          <w:rFonts w:asciiTheme="majorHAnsi" w:hAnsiTheme="majorHAnsi" w:cs="Times New Roman"/>
          <w:lang w:val="fr-FR"/>
        </w:rPr>
        <w:t xml:space="preserve"> = -0.1</w:t>
      </w:r>
    </w:p>
    <w:p w:rsidR="004C10A7" w:rsidRDefault="004C10A7" w:rsidP="00374A5B">
      <w:pPr>
        <w:spacing w:after="0"/>
        <w:jc w:val="both"/>
        <w:rPr>
          <w:rFonts w:asciiTheme="majorHAnsi" w:hAnsiTheme="majorHAnsi" w:cs="Times New Roman"/>
          <w:lang w:val="fr-FR"/>
        </w:rPr>
      </w:pPr>
    </w:p>
    <w:p w:rsidR="004C10A7" w:rsidRDefault="004C10A7" w:rsidP="00374A5B">
      <w:pPr>
        <w:spacing w:after="0"/>
        <w:jc w:val="both"/>
        <w:rPr>
          <w:rFonts w:asciiTheme="majorHAnsi" w:hAnsiTheme="majorHAnsi" w:cs="Times New Roman"/>
          <w:lang w:val="fr-FR"/>
        </w:rPr>
      </w:pPr>
      <w:r>
        <w:rPr>
          <w:rFonts w:asciiTheme="majorHAnsi" w:hAnsiTheme="majorHAnsi" w:cs="Times New Roman"/>
          <w:noProof/>
          <w:lang w:val="fr-FR" w:eastAsia="fr-FR"/>
        </w:rPr>
        <w:lastRenderedPageBreak/>
        <w:drawing>
          <wp:inline distT="0" distB="0" distL="0" distR="0" wp14:anchorId="5718DAD6" wp14:editId="6F9025F8">
            <wp:extent cx="4839376" cy="2829320"/>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eur kS.PNG"/>
                    <pic:cNvPicPr/>
                  </pic:nvPicPr>
                  <pic:blipFill>
                    <a:blip r:embed="rId9">
                      <a:extLst>
                        <a:ext uri="{28A0092B-C50C-407E-A947-70E740481C1C}">
                          <a14:useLocalDpi xmlns:a14="http://schemas.microsoft.com/office/drawing/2010/main" val="0"/>
                        </a:ext>
                      </a:extLst>
                    </a:blip>
                    <a:stretch>
                      <a:fillRect/>
                    </a:stretch>
                  </pic:blipFill>
                  <pic:spPr>
                    <a:xfrm>
                      <a:off x="0" y="0"/>
                      <a:ext cx="4839376" cy="2829320"/>
                    </a:xfrm>
                    <a:prstGeom prst="rect">
                      <a:avLst/>
                    </a:prstGeom>
                  </pic:spPr>
                </pic:pic>
              </a:graphicData>
            </a:graphic>
          </wp:inline>
        </w:drawing>
      </w:r>
    </w:p>
    <w:p w:rsidR="004C10A7" w:rsidRDefault="004C10A7" w:rsidP="00374A5B">
      <w:pPr>
        <w:spacing w:after="0"/>
        <w:jc w:val="both"/>
        <w:rPr>
          <w:rFonts w:asciiTheme="majorHAnsi" w:hAnsiTheme="majorHAnsi" w:cs="Times New Roman"/>
          <w:lang w:val="fr-FR"/>
        </w:rPr>
      </w:pPr>
    </w:p>
    <w:p w:rsidR="004C10A7" w:rsidRDefault="004C10A7" w:rsidP="00374A5B">
      <w:pPr>
        <w:spacing w:after="0"/>
        <w:jc w:val="both"/>
        <w:rPr>
          <w:rFonts w:asciiTheme="majorHAnsi" w:hAnsiTheme="majorHAnsi" w:cs="Times New Roman"/>
          <w:lang w:val="fr-FR"/>
        </w:rPr>
      </w:pPr>
    </w:p>
    <w:p w:rsidR="004C10A7" w:rsidRDefault="004C10A7" w:rsidP="00374A5B">
      <w:pPr>
        <w:spacing w:after="0"/>
        <w:jc w:val="both"/>
        <w:rPr>
          <w:rFonts w:asciiTheme="majorHAnsi" w:hAnsiTheme="majorHAnsi" w:cs="Times New Roman"/>
          <w:lang w:val="fr-FR"/>
        </w:rPr>
      </w:pPr>
    </w:p>
    <w:p w:rsidR="00A84907" w:rsidRDefault="0033020F" w:rsidP="00374A5B">
      <w:pPr>
        <w:spacing w:after="0"/>
        <w:jc w:val="both"/>
        <w:rPr>
          <w:rFonts w:asciiTheme="majorHAnsi" w:hAnsiTheme="majorHAnsi" w:cs="Times New Roman"/>
          <w:lang w:val="fr-FR"/>
        </w:rPr>
      </w:pPr>
      <w:r>
        <w:rPr>
          <w:rFonts w:asciiTheme="majorHAnsi" w:hAnsiTheme="majorHAnsi" w:cs="Times New Roman"/>
          <w:lang w:val="fr-FR"/>
        </w:rPr>
        <w:t>Maintenant que nous possédons</w:t>
      </w:r>
      <w:r w:rsidR="00591064">
        <w:rPr>
          <w:rFonts w:asciiTheme="majorHAnsi" w:hAnsiTheme="majorHAnsi" w:cs="Times New Roman"/>
          <w:lang w:val="fr-FR"/>
        </w:rPr>
        <w:t xml:space="preserve"> toutes les valeurs nécessaires au calcul de l’intéressement, nous pouvons nous </w:t>
      </w:r>
      <w:r w:rsidR="00E14908">
        <w:rPr>
          <w:rFonts w:asciiTheme="majorHAnsi" w:hAnsiTheme="majorHAnsi" w:cs="Times New Roman"/>
          <w:lang w:val="fr-FR"/>
        </w:rPr>
        <w:t>focaliser sur</w:t>
      </w:r>
      <w:r w:rsidR="00591064">
        <w:rPr>
          <w:rFonts w:asciiTheme="majorHAnsi" w:hAnsiTheme="majorHAnsi" w:cs="Times New Roman"/>
          <w:lang w:val="fr-FR"/>
        </w:rPr>
        <w:t xml:space="preserve"> celui-ci.</w:t>
      </w:r>
    </w:p>
    <w:p w:rsidR="00591064" w:rsidRDefault="00591064" w:rsidP="00374A5B">
      <w:pPr>
        <w:spacing w:after="0"/>
        <w:jc w:val="both"/>
        <w:rPr>
          <w:rFonts w:asciiTheme="majorHAnsi" w:hAnsiTheme="majorHAnsi" w:cs="Times New Roman"/>
          <w:lang w:val="fr-FR"/>
        </w:rPr>
      </w:pPr>
      <w:r>
        <w:rPr>
          <w:rFonts w:asciiTheme="majorHAnsi" w:hAnsiTheme="majorHAnsi" w:cs="Times New Roman"/>
          <w:lang w:val="fr-FR"/>
        </w:rPr>
        <w:t>Le ROC est à 171,8M€.</w:t>
      </w:r>
    </w:p>
    <w:p w:rsidR="00E24401" w:rsidRDefault="00E24401" w:rsidP="00374A5B">
      <w:pPr>
        <w:spacing w:after="0"/>
        <w:jc w:val="both"/>
        <w:rPr>
          <w:rFonts w:asciiTheme="majorHAnsi" w:hAnsiTheme="majorHAnsi" w:cs="Times New Roman"/>
          <w:lang w:val="fr-FR"/>
        </w:rPr>
      </w:pPr>
      <w:r>
        <w:rPr>
          <w:rFonts w:asciiTheme="majorHAnsi" w:hAnsiTheme="majorHAnsi" w:cs="Times New Roman"/>
          <w:lang w:val="fr-FR"/>
        </w:rPr>
        <w:t>171,8/144,2 = 1,19</w:t>
      </w:r>
      <w:r w:rsidR="009C3EB2">
        <w:rPr>
          <w:rFonts w:asciiTheme="majorHAnsi" w:hAnsiTheme="majorHAnsi" w:cs="Times New Roman"/>
          <w:lang w:val="fr-FR"/>
        </w:rPr>
        <w:t xml:space="preserve"> soit  119% donc d’</w:t>
      </w:r>
      <w:r w:rsidR="00C012D1">
        <w:rPr>
          <w:rFonts w:asciiTheme="majorHAnsi" w:hAnsiTheme="majorHAnsi" w:cs="Times New Roman"/>
          <w:lang w:val="fr-FR"/>
        </w:rPr>
        <w:t>après le tableau le</w:t>
      </w:r>
      <w:r w:rsidR="009C3EB2">
        <w:rPr>
          <w:rFonts w:asciiTheme="majorHAnsi" w:hAnsiTheme="majorHAnsi" w:cs="Times New Roman"/>
          <w:lang w:val="fr-FR"/>
        </w:rPr>
        <w:t xml:space="preserve"> t</w:t>
      </w:r>
      <w:r w:rsidR="00055FA4">
        <w:rPr>
          <w:rFonts w:asciiTheme="majorHAnsi" w:hAnsiTheme="majorHAnsi" w:cs="Times New Roman"/>
          <w:lang w:val="fr-FR"/>
        </w:rPr>
        <w:t>aux de distribution est égal à 6</w:t>
      </w:r>
      <w:r w:rsidR="009C3EB2">
        <w:rPr>
          <w:rFonts w:asciiTheme="majorHAnsi" w:hAnsiTheme="majorHAnsi" w:cs="Times New Roman"/>
          <w:lang w:val="fr-FR"/>
        </w:rPr>
        <w:t>%.</w:t>
      </w:r>
    </w:p>
    <w:p w:rsidR="00C012D1" w:rsidRDefault="00A46E8F" w:rsidP="00374A5B">
      <w:pPr>
        <w:spacing w:after="0"/>
        <w:jc w:val="both"/>
        <w:rPr>
          <w:rFonts w:asciiTheme="majorHAnsi" w:hAnsiTheme="majorHAnsi" w:cs="Times New Roman"/>
          <w:lang w:val="fr-FR"/>
        </w:rPr>
      </w:pPr>
      <w:r>
        <w:rPr>
          <w:rFonts w:asciiTheme="majorHAnsi" w:hAnsiTheme="majorHAnsi" w:cs="Times New Roman"/>
          <w:lang w:val="fr-FR"/>
        </w:rPr>
        <w:t xml:space="preserve">2059/1698,7 = 1.21 soit 121% des PC budget. </w:t>
      </w:r>
      <w:proofErr w:type="spellStart"/>
      <w:proofErr w:type="gramStart"/>
      <w:r>
        <w:rPr>
          <w:rFonts w:asciiTheme="majorHAnsi" w:hAnsiTheme="majorHAnsi" w:cs="Times New Roman"/>
          <w:lang w:val="fr-FR"/>
        </w:rPr>
        <w:t>kP</w:t>
      </w:r>
      <w:proofErr w:type="spellEnd"/>
      <w:proofErr w:type="gramEnd"/>
      <w:r>
        <w:rPr>
          <w:rFonts w:asciiTheme="majorHAnsi" w:hAnsiTheme="majorHAnsi" w:cs="Times New Roman"/>
          <w:lang w:val="fr-FR"/>
        </w:rPr>
        <w:t xml:space="preserve"> = +0.1</w:t>
      </w:r>
    </w:p>
    <w:p w:rsidR="00136B8E" w:rsidRDefault="00136B8E" w:rsidP="00374A5B">
      <w:pPr>
        <w:spacing w:after="0"/>
        <w:jc w:val="both"/>
        <w:rPr>
          <w:rFonts w:asciiTheme="majorHAnsi" w:hAnsiTheme="majorHAnsi" w:cs="Times New Roman"/>
          <w:lang w:val="fr-FR"/>
        </w:rPr>
      </w:pPr>
      <w:r>
        <w:rPr>
          <w:rFonts w:asciiTheme="majorHAnsi" w:hAnsiTheme="majorHAnsi" w:cs="Times New Roman"/>
          <w:lang w:val="fr-FR"/>
        </w:rPr>
        <w:t xml:space="preserve">49/30 = 1.63 soit 163% du taux de recrutement objectif. </w:t>
      </w:r>
      <w:proofErr w:type="spellStart"/>
      <w:proofErr w:type="gramStart"/>
      <w:r>
        <w:rPr>
          <w:rFonts w:asciiTheme="majorHAnsi" w:hAnsiTheme="majorHAnsi" w:cs="Times New Roman"/>
          <w:lang w:val="fr-FR"/>
        </w:rPr>
        <w:t>kS</w:t>
      </w:r>
      <w:proofErr w:type="spellEnd"/>
      <w:proofErr w:type="gramEnd"/>
      <w:r>
        <w:rPr>
          <w:rFonts w:asciiTheme="majorHAnsi" w:hAnsiTheme="majorHAnsi" w:cs="Times New Roman"/>
          <w:lang w:val="fr-FR"/>
        </w:rPr>
        <w:t xml:space="preserve"> = +0.1</w:t>
      </w:r>
    </w:p>
    <w:p w:rsidR="00FF0028" w:rsidRDefault="00FF0028" w:rsidP="00374A5B">
      <w:pPr>
        <w:spacing w:after="0"/>
        <w:jc w:val="both"/>
        <w:rPr>
          <w:rFonts w:asciiTheme="majorHAnsi" w:hAnsiTheme="majorHAnsi" w:cs="Times New Roman"/>
          <w:lang w:val="fr-FR"/>
        </w:rPr>
      </w:pPr>
    </w:p>
    <w:p w:rsidR="00FF0028" w:rsidRDefault="00FF0028" w:rsidP="00374A5B">
      <w:pPr>
        <w:spacing w:after="0"/>
        <w:jc w:val="both"/>
        <w:rPr>
          <w:rFonts w:asciiTheme="majorHAnsi" w:hAnsiTheme="majorHAnsi" w:cs="Times New Roman"/>
          <w:lang w:val="fr-FR"/>
        </w:rPr>
      </w:pPr>
      <w:r>
        <w:rPr>
          <w:rFonts w:asciiTheme="majorHAnsi" w:hAnsiTheme="majorHAnsi" w:cs="Times New Roman"/>
          <w:lang w:val="fr-FR"/>
        </w:rPr>
        <w:t>On a donc I = 171,8 * 0,06 * 1,2 = 12,37M€</w:t>
      </w:r>
    </w:p>
    <w:p w:rsidR="00433FBD" w:rsidRDefault="00433FBD" w:rsidP="00374A5B">
      <w:pPr>
        <w:spacing w:after="0"/>
        <w:jc w:val="both"/>
        <w:rPr>
          <w:rFonts w:asciiTheme="majorHAnsi" w:hAnsiTheme="majorHAnsi" w:cs="Times New Roman"/>
          <w:lang w:val="fr-FR"/>
        </w:rPr>
      </w:pPr>
    </w:p>
    <w:p w:rsidR="00433FBD" w:rsidRDefault="00433FBD" w:rsidP="007B0662">
      <w:pPr>
        <w:pStyle w:val="Titre1"/>
        <w:spacing w:before="0"/>
        <w:rPr>
          <w:lang w:val="fr-FR"/>
        </w:rPr>
      </w:pPr>
      <w:r>
        <w:rPr>
          <w:lang w:val="fr-FR"/>
        </w:rPr>
        <w:t>Conclusion</w:t>
      </w:r>
    </w:p>
    <w:p w:rsidR="007B0662" w:rsidRDefault="007B0662" w:rsidP="007B0662">
      <w:pPr>
        <w:spacing w:after="0"/>
        <w:rPr>
          <w:lang w:val="fr-FR"/>
        </w:rPr>
      </w:pPr>
    </w:p>
    <w:p w:rsidR="007B0662" w:rsidRDefault="007B0662" w:rsidP="007B0662">
      <w:pPr>
        <w:spacing w:after="0"/>
        <w:rPr>
          <w:lang w:val="fr-FR"/>
        </w:rPr>
      </w:pPr>
      <w:r>
        <w:rPr>
          <w:lang w:val="fr-FR"/>
        </w:rPr>
        <w:t>En réalité, l’intéressement total versé s’élève à 10 ,44M€.</w:t>
      </w:r>
    </w:p>
    <w:p w:rsidR="007B0662" w:rsidRDefault="007B0662" w:rsidP="007B0662">
      <w:pPr>
        <w:spacing w:after="0"/>
        <w:rPr>
          <w:lang w:val="fr-FR"/>
        </w:rPr>
      </w:pPr>
      <w:r>
        <w:rPr>
          <w:lang w:val="fr-FR"/>
        </w:rPr>
        <w:t>Cela s’explique par l’écrêtage de l’intéressement, en application de la règle du plafonnement de l’</w:t>
      </w:r>
      <w:r w:rsidR="00174001">
        <w:rPr>
          <w:lang w:val="fr-FR"/>
        </w:rPr>
        <w:t xml:space="preserve">intéressement imposée par le groupe </w:t>
      </w:r>
      <w:r w:rsidR="00BA5E9E">
        <w:rPr>
          <w:lang w:val="fr-FR"/>
        </w:rPr>
        <w:t>X</w:t>
      </w:r>
      <w:r w:rsidR="00174001">
        <w:rPr>
          <w:lang w:val="fr-FR"/>
        </w:rPr>
        <w:t xml:space="preserve">. </w:t>
      </w:r>
    </w:p>
    <w:p w:rsidR="00794ACA" w:rsidRDefault="00174001" w:rsidP="00794ACA">
      <w:pPr>
        <w:spacing w:after="0"/>
        <w:rPr>
          <w:lang w:val="fr-FR"/>
        </w:rPr>
      </w:pPr>
      <w:r>
        <w:rPr>
          <w:lang w:val="fr-FR"/>
        </w:rPr>
        <w:t>En application de cette règle, environ 2M€ concernant l’intéressement ne sont pas redistribués, ce qui corrobore les calculs effectués précédemment.</w:t>
      </w:r>
    </w:p>
    <w:p w:rsidR="007B0662" w:rsidRPr="007B0662" w:rsidRDefault="007B0662" w:rsidP="007B0662">
      <w:pPr>
        <w:rPr>
          <w:lang w:val="fr-FR"/>
        </w:rPr>
      </w:pPr>
    </w:p>
    <w:sectPr w:rsidR="007B0662" w:rsidRPr="007B0662" w:rsidSect="00A96140">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5F" w:rsidRDefault="0065675F" w:rsidP="00AA2127">
      <w:pPr>
        <w:spacing w:after="0" w:line="240" w:lineRule="auto"/>
      </w:pPr>
      <w:r>
        <w:separator/>
      </w:r>
    </w:p>
  </w:endnote>
  <w:endnote w:type="continuationSeparator" w:id="0">
    <w:p w:rsidR="0065675F" w:rsidRDefault="0065675F" w:rsidP="00AA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5F" w:rsidRDefault="0065675F" w:rsidP="00AA2127">
      <w:pPr>
        <w:spacing w:after="0" w:line="240" w:lineRule="auto"/>
      </w:pPr>
      <w:r>
        <w:separator/>
      </w:r>
    </w:p>
  </w:footnote>
  <w:footnote w:type="continuationSeparator" w:id="0">
    <w:p w:rsidR="0065675F" w:rsidRDefault="0065675F" w:rsidP="00AA2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127" w:rsidRPr="00AA2127" w:rsidRDefault="00AA2127" w:rsidP="00AA2127">
    <w:pPr>
      <w:pStyle w:val="En-tte"/>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6485C"/>
    <w:multiLevelType w:val="hybridMultilevel"/>
    <w:tmpl w:val="45B8F1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A7"/>
    <w:rsid w:val="00005A85"/>
    <w:rsid w:val="00055FA4"/>
    <w:rsid w:val="00075D3A"/>
    <w:rsid w:val="0008783A"/>
    <w:rsid w:val="000B1F39"/>
    <w:rsid w:val="00132608"/>
    <w:rsid w:val="00136B8E"/>
    <w:rsid w:val="001413F5"/>
    <w:rsid w:val="00142265"/>
    <w:rsid w:val="0016063A"/>
    <w:rsid w:val="00174001"/>
    <w:rsid w:val="00185779"/>
    <w:rsid w:val="00217289"/>
    <w:rsid w:val="00251EFD"/>
    <w:rsid w:val="00290142"/>
    <w:rsid w:val="002C2E7D"/>
    <w:rsid w:val="0033020F"/>
    <w:rsid w:val="00367F6F"/>
    <w:rsid w:val="0037371E"/>
    <w:rsid w:val="00374A5B"/>
    <w:rsid w:val="00381CE2"/>
    <w:rsid w:val="0038466F"/>
    <w:rsid w:val="003F41B6"/>
    <w:rsid w:val="00433FBD"/>
    <w:rsid w:val="004C10A7"/>
    <w:rsid w:val="004E4996"/>
    <w:rsid w:val="00520909"/>
    <w:rsid w:val="00525124"/>
    <w:rsid w:val="00572FB3"/>
    <w:rsid w:val="00591064"/>
    <w:rsid w:val="00597184"/>
    <w:rsid w:val="005B7018"/>
    <w:rsid w:val="005E7A15"/>
    <w:rsid w:val="0061440E"/>
    <w:rsid w:val="006315D2"/>
    <w:rsid w:val="00632413"/>
    <w:rsid w:val="00653DA7"/>
    <w:rsid w:val="0065675F"/>
    <w:rsid w:val="00660B8D"/>
    <w:rsid w:val="006C5E0D"/>
    <w:rsid w:val="006D5A9F"/>
    <w:rsid w:val="00762D32"/>
    <w:rsid w:val="00781E2D"/>
    <w:rsid w:val="00794ACA"/>
    <w:rsid w:val="007B0662"/>
    <w:rsid w:val="007C6A5D"/>
    <w:rsid w:val="0081047B"/>
    <w:rsid w:val="00876A36"/>
    <w:rsid w:val="00893640"/>
    <w:rsid w:val="008F03E5"/>
    <w:rsid w:val="00914A96"/>
    <w:rsid w:val="009C3EB2"/>
    <w:rsid w:val="009E3CE2"/>
    <w:rsid w:val="009F1720"/>
    <w:rsid w:val="00A177E6"/>
    <w:rsid w:val="00A217CD"/>
    <w:rsid w:val="00A344E0"/>
    <w:rsid w:val="00A46E8F"/>
    <w:rsid w:val="00A73AE2"/>
    <w:rsid w:val="00A84907"/>
    <w:rsid w:val="00A96140"/>
    <w:rsid w:val="00AA2127"/>
    <w:rsid w:val="00AC3F97"/>
    <w:rsid w:val="00B1272E"/>
    <w:rsid w:val="00B561B4"/>
    <w:rsid w:val="00BA5E9E"/>
    <w:rsid w:val="00BD6652"/>
    <w:rsid w:val="00BE227F"/>
    <w:rsid w:val="00C012D1"/>
    <w:rsid w:val="00C1743F"/>
    <w:rsid w:val="00C55A7A"/>
    <w:rsid w:val="00C730ED"/>
    <w:rsid w:val="00CE23A2"/>
    <w:rsid w:val="00D04B50"/>
    <w:rsid w:val="00DA76DD"/>
    <w:rsid w:val="00DC1C3F"/>
    <w:rsid w:val="00DD159E"/>
    <w:rsid w:val="00DE1BB3"/>
    <w:rsid w:val="00E1067C"/>
    <w:rsid w:val="00E14908"/>
    <w:rsid w:val="00E24401"/>
    <w:rsid w:val="00E46CDB"/>
    <w:rsid w:val="00E767F6"/>
    <w:rsid w:val="00EA4755"/>
    <w:rsid w:val="00EF466C"/>
    <w:rsid w:val="00F20EF7"/>
    <w:rsid w:val="00F91061"/>
    <w:rsid w:val="00FA44FE"/>
    <w:rsid w:val="00FE3EDC"/>
    <w:rsid w:val="00FF0028"/>
    <w:rsid w:val="00FF49BF"/>
    <w:rsid w:val="00FF77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D"/>
    <w:pPr>
      <w:spacing w:after="200" w:line="276" w:lineRule="auto"/>
    </w:pPr>
    <w:rPr>
      <w:sz w:val="22"/>
      <w:szCs w:val="22"/>
      <w:lang w:val="en-US" w:eastAsia="en-US"/>
    </w:rPr>
  </w:style>
  <w:style w:type="paragraph" w:styleId="Titre1">
    <w:name w:val="heading 1"/>
    <w:basedOn w:val="Normal"/>
    <w:next w:val="Normal"/>
    <w:link w:val="Titre1Car"/>
    <w:uiPriority w:val="9"/>
    <w:qFormat/>
    <w:rsid w:val="00DA7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7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74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6DD"/>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DA76DD"/>
    <w:rPr>
      <w:rFonts w:asciiTheme="majorHAnsi" w:eastAsiaTheme="majorEastAsia" w:hAnsiTheme="majorHAnsi" w:cstheme="majorBidi"/>
      <w:b/>
      <w:bCs/>
      <w:color w:val="4F81BD" w:themeColor="accent1"/>
      <w:sz w:val="26"/>
      <w:szCs w:val="26"/>
      <w:lang w:val="en-US" w:eastAsia="en-US"/>
    </w:rPr>
  </w:style>
  <w:style w:type="paragraph" w:styleId="Titre">
    <w:name w:val="Title"/>
    <w:basedOn w:val="Normal"/>
    <w:next w:val="Normal"/>
    <w:link w:val="TitreCar"/>
    <w:uiPriority w:val="10"/>
    <w:qFormat/>
    <w:rsid w:val="00DA7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76DD"/>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DA76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76DD"/>
    <w:rPr>
      <w:rFonts w:asciiTheme="majorHAnsi" w:eastAsiaTheme="majorEastAsia" w:hAnsiTheme="majorHAnsi" w:cstheme="majorBidi"/>
      <w:i/>
      <w:iCs/>
      <w:color w:val="4F81BD" w:themeColor="accent1"/>
      <w:spacing w:val="15"/>
      <w:sz w:val="24"/>
      <w:szCs w:val="24"/>
      <w:lang w:val="en-US" w:eastAsia="en-US"/>
    </w:rPr>
  </w:style>
  <w:style w:type="paragraph" w:styleId="Sansinterligne">
    <w:name w:val="No Spacing"/>
    <w:link w:val="SansinterligneCar"/>
    <w:uiPriority w:val="1"/>
    <w:qFormat/>
    <w:rsid w:val="00DA76D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A76DD"/>
    <w:rPr>
      <w:rFonts w:asciiTheme="minorHAnsi" w:eastAsiaTheme="minorEastAsia" w:hAnsiTheme="minorHAnsi" w:cstheme="minorBidi"/>
      <w:sz w:val="22"/>
      <w:szCs w:val="22"/>
    </w:rPr>
  </w:style>
  <w:style w:type="character" w:styleId="Emphaseintense">
    <w:name w:val="Intense Emphasis"/>
    <w:basedOn w:val="Policepardfaut"/>
    <w:uiPriority w:val="21"/>
    <w:qFormat/>
    <w:rsid w:val="00DA76DD"/>
    <w:rPr>
      <w:b/>
      <w:bCs/>
      <w:i/>
      <w:iCs/>
      <w:color w:val="4F81BD" w:themeColor="accent1"/>
    </w:rPr>
  </w:style>
  <w:style w:type="paragraph" w:styleId="En-ttedetabledesmatires">
    <w:name w:val="TOC Heading"/>
    <w:basedOn w:val="Titre1"/>
    <w:next w:val="Normal"/>
    <w:uiPriority w:val="39"/>
    <w:semiHidden/>
    <w:unhideWhenUsed/>
    <w:qFormat/>
    <w:rsid w:val="00DA76DD"/>
    <w:pPr>
      <w:outlineLvl w:val="9"/>
    </w:pPr>
    <w:rPr>
      <w:lang w:val="fr-FR" w:eastAsia="fr-FR"/>
    </w:rPr>
  </w:style>
  <w:style w:type="paragraph" w:styleId="En-tte">
    <w:name w:val="header"/>
    <w:basedOn w:val="Normal"/>
    <w:link w:val="En-tteCar"/>
    <w:uiPriority w:val="99"/>
    <w:unhideWhenUsed/>
    <w:rsid w:val="00AA2127"/>
    <w:pPr>
      <w:tabs>
        <w:tab w:val="center" w:pos="4536"/>
        <w:tab w:val="right" w:pos="9072"/>
      </w:tabs>
      <w:spacing w:after="0" w:line="240" w:lineRule="auto"/>
    </w:pPr>
  </w:style>
  <w:style w:type="character" w:customStyle="1" w:styleId="En-tteCar">
    <w:name w:val="En-tête Car"/>
    <w:basedOn w:val="Policepardfaut"/>
    <w:link w:val="En-tte"/>
    <w:uiPriority w:val="99"/>
    <w:rsid w:val="00AA2127"/>
    <w:rPr>
      <w:sz w:val="22"/>
      <w:szCs w:val="22"/>
      <w:lang w:val="en-US" w:eastAsia="en-US"/>
    </w:rPr>
  </w:style>
  <w:style w:type="paragraph" w:styleId="Pieddepage">
    <w:name w:val="footer"/>
    <w:basedOn w:val="Normal"/>
    <w:link w:val="PieddepageCar"/>
    <w:uiPriority w:val="99"/>
    <w:unhideWhenUsed/>
    <w:rsid w:val="00AA21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127"/>
    <w:rPr>
      <w:sz w:val="22"/>
      <w:szCs w:val="22"/>
      <w:lang w:val="en-US" w:eastAsia="en-US"/>
    </w:rPr>
  </w:style>
  <w:style w:type="paragraph" w:styleId="Paragraphedeliste">
    <w:name w:val="List Paragraph"/>
    <w:basedOn w:val="Normal"/>
    <w:uiPriority w:val="34"/>
    <w:qFormat/>
    <w:rsid w:val="00D04B50"/>
    <w:pPr>
      <w:ind w:left="720"/>
      <w:contextualSpacing/>
    </w:pPr>
  </w:style>
  <w:style w:type="paragraph" w:styleId="Textedebulles">
    <w:name w:val="Balloon Text"/>
    <w:basedOn w:val="Normal"/>
    <w:link w:val="TextedebullesCar"/>
    <w:uiPriority w:val="99"/>
    <w:semiHidden/>
    <w:unhideWhenUsed/>
    <w:rsid w:val="0052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909"/>
    <w:rPr>
      <w:rFonts w:ascii="Tahoma" w:hAnsi="Tahoma" w:cs="Tahoma"/>
      <w:sz w:val="16"/>
      <w:szCs w:val="16"/>
      <w:lang w:val="en-US" w:eastAsia="en-US"/>
    </w:rPr>
  </w:style>
  <w:style w:type="table" w:styleId="Grilledutableau">
    <w:name w:val="Table Grid"/>
    <w:basedOn w:val="TableauNormal"/>
    <w:uiPriority w:val="59"/>
    <w:rsid w:val="00E76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4">
    <w:name w:val="Light List Accent 4"/>
    <w:basedOn w:val="TableauNormal"/>
    <w:uiPriority w:val="61"/>
    <w:rsid w:val="00CE23A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74A5B"/>
    <w:rPr>
      <w:rFonts w:asciiTheme="majorHAnsi" w:eastAsiaTheme="majorEastAsia" w:hAnsiTheme="majorHAnsi" w:cstheme="majorBidi"/>
      <w:b/>
      <w:bCs/>
      <w:color w:val="4F81BD" w:themeColor="accen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6DD"/>
    <w:pPr>
      <w:spacing w:after="200" w:line="276" w:lineRule="auto"/>
    </w:pPr>
    <w:rPr>
      <w:sz w:val="22"/>
      <w:szCs w:val="22"/>
      <w:lang w:val="en-US" w:eastAsia="en-US"/>
    </w:rPr>
  </w:style>
  <w:style w:type="paragraph" w:styleId="Titre1">
    <w:name w:val="heading 1"/>
    <w:basedOn w:val="Normal"/>
    <w:next w:val="Normal"/>
    <w:link w:val="Titre1Car"/>
    <w:uiPriority w:val="9"/>
    <w:qFormat/>
    <w:rsid w:val="00DA7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A7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74A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76DD"/>
    <w:rPr>
      <w:rFonts w:asciiTheme="majorHAnsi" w:eastAsiaTheme="majorEastAsia" w:hAnsiTheme="majorHAnsi" w:cstheme="majorBidi"/>
      <w:b/>
      <w:bCs/>
      <w:color w:val="365F91" w:themeColor="accent1" w:themeShade="BF"/>
      <w:sz w:val="28"/>
      <w:szCs w:val="28"/>
      <w:lang w:val="en-US" w:eastAsia="en-US"/>
    </w:rPr>
  </w:style>
  <w:style w:type="character" w:customStyle="1" w:styleId="Titre2Car">
    <w:name w:val="Titre 2 Car"/>
    <w:basedOn w:val="Policepardfaut"/>
    <w:link w:val="Titre2"/>
    <w:uiPriority w:val="9"/>
    <w:rsid w:val="00DA76DD"/>
    <w:rPr>
      <w:rFonts w:asciiTheme="majorHAnsi" w:eastAsiaTheme="majorEastAsia" w:hAnsiTheme="majorHAnsi" w:cstheme="majorBidi"/>
      <w:b/>
      <w:bCs/>
      <w:color w:val="4F81BD" w:themeColor="accent1"/>
      <w:sz w:val="26"/>
      <w:szCs w:val="26"/>
      <w:lang w:val="en-US" w:eastAsia="en-US"/>
    </w:rPr>
  </w:style>
  <w:style w:type="paragraph" w:styleId="Titre">
    <w:name w:val="Title"/>
    <w:basedOn w:val="Normal"/>
    <w:next w:val="Normal"/>
    <w:link w:val="TitreCar"/>
    <w:uiPriority w:val="10"/>
    <w:qFormat/>
    <w:rsid w:val="00DA7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A76DD"/>
    <w:rPr>
      <w:rFonts w:asciiTheme="majorHAnsi" w:eastAsiaTheme="majorEastAsia" w:hAnsiTheme="majorHAnsi" w:cstheme="majorBidi"/>
      <w:color w:val="17365D" w:themeColor="text2" w:themeShade="BF"/>
      <w:spacing w:val="5"/>
      <w:kern w:val="28"/>
      <w:sz w:val="52"/>
      <w:szCs w:val="52"/>
      <w:lang w:val="en-US" w:eastAsia="en-US"/>
    </w:rPr>
  </w:style>
  <w:style w:type="paragraph" w:styleId="Sous-titre">
    <w:name w:val="Subtitle"/>
    <w:basedOn w:val="Normal"/>
    <w:next w:val="Normal"/>
    <w:link w:val="Sous-titreCar"/>
    <w:uiPriority w:val="11"/>
    <w:qFormat/>
    <w:rsid w:val="00DA76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A76DD"/>
    <w:rPr>
      <w:rFonts w:asciiTheme="majorHAnsi" w:eastAsiaTheme="majorEastAsia" w:hAnsiTheme="majorHAnsi" w:cstheme="majorBidi"/>
      <w:i/>
      <w:iCs/>
      <w:color w:val="4F81BD" w:themeColor="accent1"/>
      <w:spacing w:val="15"/>
      <w:sz w:val="24"/>
      <w:szCs w:val="24"/>
      <w:lang w:val="en-US" w:eastAsia="en-US"/>
    </w:rPr>
  </w:style>
  <w:style w:type="paragraph" w:styleId="Sansinterligne">
    <w:name w:val="No Spacing"/>
    <w:link w:val="SansinterligneCar"/>
    <w:uiPriority w:val="1"/>
    <w:qFormat/>
    <w:rsid w:val="00DA76DD"/>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DA76DD"/>
    <w:rPr>
      <w:rFonts w:asciiTheme="minorHAnsi" w:eastAsiaTheme="minorEastAsia" w:hAnsiTheme="minorHAnsi" w:cstheme="minorBidi"/>
      <w:sz w:val="22"/>
      <w:szCs w:val="22"/>
    </w:rPr>
  </w:style>
  <w:style w:type="character" w:styleId="Emphaseintense">
    <w:name w:val="Intense Emphasis"/>
    <w:basedOn w:val="Policepardfaut"/>
    <w:uiPriority w:val="21"/>
    <w:qFormat/>
    <w:rsid w:val="00DA76DD"/>
    <w:rPr>
      <w:b/>
      <w:bCs/>
      <w:i/>
      <w:iCs/>
      <w:color w:val="4F81BD" w:themeColor="accent1"/>
    </w:rPr>
  </w:style>
  <w:style w:type="paragraph" w:styleId="En-ttedetabledesmatires">
    <w:name w:val="TOC Heading"/>
    <w:basedOn w:val="Titre1"/>
    <w:next w:val="Normal"/>
    <w:uiPriority w:val="39"/>
    <w:semiHidden/>
    <w:unhideWhenUsed/>
    <w:qFormat/>
    <w:rsid w:val="00DA76DD"/>
    <w:pPr>
      <w:outlineLvl w:val="9"/>
    </w:pPr>
    <w:rPr>
      <w:lang w:val="fr-FR" w:eastAsia="fr-FR"/>
    </w:rPr>
  </w:style>
  <w:style w:type="paragraph" w:styleId="En-tte">
    <w:name w:val="header"/>
    <w:basedOn w:val="Normal"/>
    <w:link w:val="En-tteCar"/>
    <w:uiPriority w:val="99"/>
    <w:unhideWhenUsed/>
    <w:rsid w:val="00AA2127"/>
    <w:pPr>
      <w:tabs>
        <w:tab w:val="center" w:pos="4536"/>
        <w:tab w:val="right" w:pos="9072"/>
      </w:tabs>
      <w:spacing w:after="0" w:line="240" w:lineRule="auto"/>
    </w:pPr>
  </w:style>
  <w:style w:type="character" w:customStyle="1" w:styleId="En-tteCar">
    <w:name w:val="En-tête Car"/>
    <w:basedOn w:val="Policepardfaut"/>
    <w:link w:val="En-tte"/>
    <w:uiPriority w:val="99"/>
    <w:rsid w:val="00AA2127"/>
    <w:rPr>
      <w:sz w:val="22"/>
      <w:szCs w:val="22"/>
      <w:lang w:val="en-US" w:eastAsia="en-US"/>
    </w:rPr>
  </w:style>
  <w:style w:type="paragraph" w:styleId="Pieddepage">
    <w:name w:val="footer"/>
    <w:basedOn w:val="Normal"/>
    <w:link w:val="PieddepageCar"/>
    <w:uiPriority w:val="99"/>
    <w:unhideWhenUsed/>
    <w:rsid w:val="00AA21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2127"/>
    <w:rPr>
      <w:sz w:val="22"/>
      <w:szCs w:val="22"/>
      <w:lang w:val="en-US" w:eastAsia="en-US"/>
    </w:rPr>
  </w:style>
  <w:style w:type="paragraph" w:styleId="Paragraphedeliste">
    <w:name w:val="List Paragraph"/>
    <w:basedOn w:val="Normal"/>
    <w:uiPriority w:val="34"/>
    <w:qFormat/>
    <w:rsid w:val="00D04B50"/>
    <w:pPr>
      <w:ind w:left="720"/>
      <w:contextualSpacing/>
    </w:pPr>
  </w:style>
  <w:style w:type="paragraph" w:styleId="Textedebulles">
    <w:name w:val="Balloon Text"/>
    <w:basedOn w:val="Normal"/>
    <w:link w:val="TextedebullesCar"/>
    <w:uiPriority w:val="99"/>
    <w:semiHidden/>
    <w:unhideWhenUsed/>
    <w:rsid w:val="005209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0909"/>
    <w:rPr>
      <w:rFonts w:ascii="Tahoma" w:hAnsi="Tahoma" w:cs="Tahoma"/>
      <w:sz w:val="16"/>
      <w:szCs w:val="16"/>
      <w:lang w:val="en-US" w:eastAsia="en-US"/>
    </w:rPr>
  </w:style>
  <w:style w:type="table" w:styleId="Grilledutableau">
    <w:name w:val="Table Grid"/>
    <w:basedOn w:val="TableauNormal"/>
    <w:uiPriority w:val="59"/>
    <w:rsid w:val="00E76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4">
    <w:name w:val="Light List Accent 4"/>
    <w:basedOn w:val="TableauNormal"/>
    <w:uiPriority w:val="61"/>
    <w:rsid w:val="00CE23A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tre3Car">
    <w:name w:val="Titre 3 Car"/>
    <w:basedOn w:val="Policepardfaut"/>
    <w:link w:val="Titre3"/>
    <w:uiPriority w:val="9"/>
    <w:rsid w:val="00374A5B"/>
    <w:rPr>
      <w:rFonts w:asciiTheme="majorHAnsi" w:eastAsiaTheme="majorEastAsia" w:hAnsiTheme="majorHAnsi" w:cstheme="majorBidi"/>
      <w:b/>
      <w:b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4</Pages>
  <Words>988</Words>
  <Characters>5439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Thales</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CLOUET</dc:creator>
  <cp:lastModifiedBy>T0166660</cp:lastModifiedBy>
  <cp:revision>78</cp:revision>
  <dcterms:created xsi:type="dcterms:W3CDTF">2016-05-30T07:06:00Z</dcterms:created>
  <dcterms:modified xsi:type="dcterms:W3CDTF">2017-09-20T16:20:00Z</dcterms:modified>
</cp:coreProperties>
</file>